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20"/>
        <w:gridCol w:w="20"/>
        <w:gridCol w:w="2149"/>
        <w:gridCol w:w="6"/>
        <w:gridCol w:w="227"/>
        <w:gridCol w:w="2129"/>
      </w:tblGrid>
      <w:tr w14:paraId="44F14785" w14:textId="77777777" w:rsidTr="00C438BB">
        <w:tblPrEx>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820" w:type="dxa"/>
          </w:tcPr>
          <w:p w:rsidR="002D021B" w:rsidRPr="00E12143" w:rsidP="00A81FDC" w14:paraId="01F1BD05" w14:textId="77777777">
            <w:r w:rsidRPr="00E12143">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rsidR="002D021B" w:rsidRPr="001C0547" w:rsidP="00A81FDC" w14:paraId="31ED15B3" w14:textId="77777777">
            <w:pPr>
              <w:rPr>
                <w:b/>
                <w:bCs/>
                <w:sz w:val="24"/>
                <w:szCs w:val="24"/>
              </w:rPr>
            </w:pPr>
          </w:p>
        </w:tc>
        <w:tc>
          <w:tcPr>
            <w:tcW w:w="227" w:type="dxa"/>
          </w:tcPr>
          <w:p w:rsidR="002D021B" w:rsidRPr="00E12143" w:rsidP="00A81FDC" w14:paraId="6F66464C" w14:textId="77777777">
            <w:pPr>
              <w:rPr>
                <w:sz w:val="14"/>
                <w:szCs w:val="14"/>
              </w:rPr>
            </w:pPr>
          </w:p>
        </w:tc>
        <w:tc>
          <w:tcPr>
            <w:tcW w:w="2129" w:type="dxa"/>
          </w:tcPr>
          <w:p w:rsidR="002D021B" w:rsidRPr="00E12143" w:rsidP="00A81FDC" w14:paraId="41A3D363" w14:textId="77777777">
            <w:pPr>
              <w:rPr>
                <w:rFonts w:ascii="Open Sans SemiBold" w:hAnsi="Open Sans SemiBold" w:cs="Open Sans SemiBold"/>
                <w:sz w:val="26"/>
                <w:szCs w:val="26"/>
              </w:rPr>
            </w:pPr>
            <w:r w:rsidRPr="001C0547">
              <w:rPr>
                <w:b/>
                <w:bCs/>
                <w:sz w:val="24"/>
                <w:szCs w:val="24"/>
              </w:rPr>
              <w:t>Vedlegg 5</w:t>
            </w:r>
          </w:p>
        </w:tc>
      </w:tr>
      <w:tr w14:paraId="7755B2B0" w14:textId="77777777" w:rsidTr="00A10D77">
        <w:tblPrEx>
          <w:tblW w:w="9351" w:type="dxa"/>
          <w:tblCellMar>
            <w:left w:w="0" w:type="dxa"/>
            <w:right w:w="0" w:type="dxa"/>
          </w:tblCellMar>
          <w:tblLook w:val="04A0"/>
        </w:tblPrEx>
        <w:tc>
          <w:tcPr>
            <w:tcW w:w="4820" w:type="dxa"/>
          </w:tcPr>
          <w:p w:rsidR="002D021B" w:rsidRPr="00E12143" w:rsidP="00A81FDC" w14:paraId="775188E3" w14:textId="77777777"/>
        </w:tc>
        <w:tc>
          <w:tcPr>
            <w:tcW w:w="2175" w:type="dxa"/>
            <w:gridSpan w:val="3"/>
          </w:tcPr>
          <w:p w:rsidR="002D021B" w:rsidRPr="00E12143" w:rsidP="00A81FDC" w14:paraId="0DFD68ED" w14:textId="77777777"/>
        </w:tc>
        <w:tc>
          <w:tcPr>
            <w:tcW w:w="227" w:type="dxa"/>
          </w:tcPr>
          <w:p w:rsidR="002D021B" w:rsidRPr="001C0547" w:rsidP="00A81FDC" w14:paraId="4DAEF455" w14:textId="77777777">
            <w:pPr>
              <w:rPr>
                <w:b/>
                <w:bCs/>
              </w:rPr>
            </w:pPr>
          </w:p>
        </w:tc>
        <w:tc>
          <w:tcPr>
            <w:tcW w:w="2129" w:type="dxa"/>
          </w:tcPr>
          <w:p w:rsidR="002D021B" w:rsidRPr="001C0547" w:rsidP="00A81FDC" w14:paraId="4BE04F79" w14:textId="77777777">
            <w:pPr>
              <w:rPr>
                <w:b/>
                <w:bCs/>
              </w:rPr>
            </w:pPr>
          </w:p>
        </w:tc>
      </w:tr>
      <w:tr w14:paraId="1A12CF68" w14:textId="77777777" w:rsidTr="00345091">
        <w:tblPrEx>
          <w:tblW w:w="9351" w:type="dxa"/>
          <w:tblCellMar>
            <w:left w:w="0" w:type="dxa"/>
            <w:right w:w="0" w:type="dxa"/>
          </w:tblCellMar>
          <w:tblLook w:val="04A0"/>
        </w:tblPrEx>
        <w:tc>
          <w:tcPr>
            <w:tcW w:w="4820" w:type="dxa"/>
          </w:tcPr>
          <w:p w:rsidR="002D021B" w:rsidRPr="00E12143" w:rsidP="00A81FDC" w14:paraId="2DB5130F" w14:textId="77777777"/>
        </w:tc>
        <w:tc>
          <w:tcPr>
            <w:tcW w:w="2175" w:type="dxa"/>
            <w:gridSpan w:val="3"/>
          </w:tcPr>
          <w:p w:rsidR="002D021B" w:rsidRPr="00E12143" w:rsidP="00A81FDC" w14:paraId="16A8E983" w14:textId="77777777">
            <w:pPr>
              <w:rPr>
                <w:sz w:val="14"/>
                <w:szCs w:val="14"/>
              </w:rPr>
            </w:pPr>
          </w:p>
        </w:tc>
        <w:tc>
          <w:tcPr>
            <w:tcW w:w="227" w:type="dxa"/>
          </w:tcPr>
          <w:p w:rsidR="002D021B" w:rsidRPr="00E12143" w:rsidP="00A81FDC" w14:paraId="69130FDE" w14:textId="77777777">
            <w:pPr>
              <w:rPr>
                <w:sz w:val="14"/>
                <w:szCs w:val="14"/>
              </w:rPr>
            </w:pPr>
          </w:p>
        </w:tc>
        <w:tc>
          <w:tcPr>
            <w:tcW w:w="2129" w:type="dxa"/>
          </w:tcPr>
          <w:p w:rsidR="002D021B" w:rsidRPr="00E12143" w:rsidP="00A81FDC" w14:paraId="1B54AA37" w14:textId="77777777">
            <w:pPr>
              <w:rPr>
                <w:sz w:val="14"/>
                <w:szCs w:val="14"/>
              </w:rPr>
            </w:pPr>
          </w:p>
        </w:tc>
      </w:tr>
      <w:tr w14:paraId="67FE604B" w14:textId="77777777" w:rsidTr="00C61AD9">
        <w:tblPrEx>
          <w:tblW w:w="9351" w:type="dxa"/>
          <w:tblCellMar>
            <w:left w:w="0" w:type="dxa"/>
            <w:right w:w="0" w:type="dxa"/>
          </w:tblCellMar>
          <w:tblLook w:val="04A0"/>
        </w:tblPrEx>
        <w:tc>
          <w:tcPr>
            <w:tcW w:w="4820" w:type="dxa"/>
          </w:tcPr>
          <w:p w:rsidR="002D021B" w:rsidRPr="00846ABF" w:rsidP="00A81FDC" w14:paraId="5EAB90F0" w14:textId="77777777">
            <w:pPr>
              <w:rPr>
                <w:sz w:val="14"/>
              </w:rPr>
            </w:pPr>
            <w:r w:rsidRPr="00846ABF">
              <w:rPr>
                <w:sz w:val="14"/>
              </w:rPr>
              <w:t xml:space="preserve">Sak: </w:t>
            </w:r>
          </w:p>
        </w:tc>
        <w:tc>
          <w:tcPr>
            <w:tcW w:w="2175" w:type="dxa"/>
            <w:gridSpan w:val="3"/>
          </w:tcPr>
          <w:p w:rsidR="002D021B" w:rsidRPr="00846ABF" w:rsidP="00A81FDC" w14:paraId="76E41DF4" w14:textId="77777777">
            <w:pPr>
              <w:rPr>
                <w:sz w:val="14"/>
                <w:szCs w:val="14"/>
              </w:rPr>
            </w:pPr>
            <w:r w:rsidRPr="00846ABF">
              <w:rPr>
                <w:sz w:val="14"/>
                <w:szCs w:val="14"/>
              </w:rPr>
              <w:t>Vår dato:</w:t>
            </w:r>
          </w:p>
        </w:tc>
        <w:tc>
          <w:tcPr>
            <w:tcW w:w="227" w:type="dxa"/>
          </w:tcPr>
          <w:p w:rsidR="002D021B" w:rsidRPr="00846ABF" w:rsidP="00A81FDC" w14:paraId="285E0085" w14:textId="77777777">
            <w:pPr>
              <w:rPr>
                <w:sz w:val="14"/>
                <w:szCs w:val="14"/>
              </w:rPr>
            </w:pPr>
          </w:p>
        </w:tc>
        <w:tc>
          <w:tcPr>
            <w:tcW w:w="2129" w:type="dxa"/>
          </w:tcPr>
          <w:p w:rsidR="002D021B" w:rsidRPr="00846ABF" w:rsidP="00A81FDC" w14:paraId="3946B0EE" w14:textId="77777777">
            <w:pPr>
              <w:rPr>
                <w:sz w:val="14"/>
                <w:szCs w:val="14"/>
              </w:rPr>
            </w:pPr>
            <w:r w:rsidRPr="00846ABF">
              <w:rPr>
                <w:sz w:val="14"/>
                <w:szCs w:val="14"/>
              </w:rPr>
              <w:t>Vår ref.:</w:t>
            </w:r>
          </w:p>
        </w:tc>
      </w:tr>
      <w:tr w14:paraId="18046446" w14:textId="77777777" w:rsidTr="00C17978">
        <w:tblPrEx>
          <w:tblW w:w="9351" w:type="dxa"/>
          <w:tblCellMar>
            <w:left w:w="0" w:type="dxa"/>
            <w:right w:w="0" w:type="dxa"/>
          </w:tblCellMar>
          <w:tblLook w:val="04A0"/>
        </w:tblPrEx>
        <w:tc>
          <w:tcPr>
            <w:tcW w:w="4820" w:type="dxa"/>
            <w:vMerge w:val="restart"/>
          </w:tcPr>
          <w:p w:rsidR="00846ABF" w:rsidRPr="006D6DE6" w:rsidP="00A81FDC" w14:paraId="24C1022D" w14:textId="77777777">
            <w:bookmarkStart w:id="0" w:name="Sakstittel"/>
            <w:r w:rsidRPr="006D6DE6">
              <w:t>Tilskudd til tiltak i beiteområder - Kommunale rammer i Trøndelag og prioriteringer for 2023</w:t>
            </w:r>
            <w:bookmarkEnd w:id="0"/>
          </w:p>
        </w:tc>
        <w:tc>
          <w:tcPr>
            <w:tcW w:w="2175" w:type="dxa"/>
            <w:gridSpan w:val="3"/>
          </w:tcPr>
          <w:p w:rsidR="00846ABF" w:rsidRPr="006D6DE6" w:rsidP="00A81FDC" w14:paraId="1B7D4587" w14:textId="77777777">
            <w:bookmarkStart w:id="1" w:name="Brevdato"/>
            <w:r w:rsidRPr="006D6DE6">
              <w:t>15.02.2023</w:t>
            </w:r>
            <w:bookmarkEnd w:id="1"/>
          </w:p>
        </w:tc>
        <w:tc>
          <w:tcPr>
            <w:tcW w:w="227" w:type="dxa"/>
          </w:tcPr>
          <w:p w:rsidR="00846ABF" w:rsidRPr="006D6DE6" w:rsidP="00A81FDC" w14:paraId="2FE102F7" w14:textId="77777777"/>
        </w:tc>
        <w:tc>
          <w:tcPr>
            <w:tcW w:w="2129" w:type="dxa"/>
          </w:tcPr>
          <w:p w:rsidR="00846ABF" w:rsidRPr="006D6DE6" w:rsidP="00A81FDC" w14:paraId="663B9D0A" w14:textId="77777777">
            <w:bookmarkStart w:id="2" w:name="Saksnr"/>
            <w:r w:rsidRPr="006D6DE6">
              <w:t>2023/1624</w:t>
            </w:r>
            <w:bookmarkEnd w:id="2"/>
          </w:p>
        </w:tc>
      </w:tr>
      <w:tr w14:paraId="023E7337" w14:textId="77777777" w:rsidTr="00955A55">
        <w:tblPrEx>
          <w:tblW w:w="9351" w:type="dxa"/>
          <w:tblCellMar>
            <w:left w:w="0" w:type="dxa"/>
            <w:right w:w="0" w:type="dxa"/>
          </w:tblCellMar>
          <w:tblLook w:val="04A0"/>
        </w:tblPrEx>
        <w:trPr>
          <w:trHeight w:val="222"/>
        </w:trPr>
        <w:tc>
          <w:tcPr>
            <w:tcW w:w="4820" w:type="dxa"/>
            <w:vMerge/>
          </w:tcPr>
          <w:p w:rsidR="00846ABF" w:rsidRPr="006D6DE6" w:rsidP="00A81FDC" w14:paraId="7B878A86" w14:textId="77777777"/>
        </w:tc>
        <w:tc>
          <w:tcPr>
            <w:tcW w:w="2169" w:type="dxa"/>
            <w:gridSpan w:val="2"/>
          </w:tcPr>
          <w:p w:rsidR="00846ABF" w:rsidRPr="006D6DE6" w:rsidP="00A81FDC" w14:paraId="19DA2042" w14:textId="77777777"/>
        </w:tc>
        <w:tc>
          <w:tcPr>
            <w:tcW w:w="2362" w:type="dxa"/>
            <w:gridSpan w:val="3"/>
          </w:tcPr>
          <w:p w:rsidR="00846ABF" w:rsidRPr="006D6DE6" w:rsidP="00A81FDC" w14:paraId="601434E7" w14:textId="77777777"/>
        </w:tc>
      </w:tr>
      <w:tr w14:paraId="338210E0" w14:textId="77777777" w:rsidTr="00955A55">
        <w:tblPrEx>
          <w:tblW w:w="9351" w:type="dxa"/>
          <w:tblCellMar>
            <w:left w:w="0" w:type="dxa"/>
            <w:right w:w="0" w:type="dxa"/>
          </w:tblCellMar>
          <w:tblLook w:val="04A0"/>
        </w:tblPrEx>
        <w:trPr>
          <w:trHeight w:val="221"/>
        </w:trPr>
        <w:tc>
          <w:tcPr>
            <w:tcW w:w="4820" w:type="dxa"/>
          </w:tcPr>
          <w:p w:rsidR="004A5769" w:rsidRPr="00846ABF" w:rsidP="004A5769" w14:paraId="30D6AAAC" w14:textId="77777777">
            <w:pPr>
              <w:rPr>
                <w:sz w:val="14"/>
                <w:szCs w:val="16"/>
              </w:rPr>
            </w:pPr>
          </w:p>
        </w:tc>
        <w:tc>
          <w:tcPr>
            <w:tcW w:w="20" w:type="dxa"/>
          </w:tcPr>
          <w:p w:rsidR="004A5769" w:rsidRPr="00846ABF" w:rsidP="004A5769" w14:paraId="365E49FA" w14:textId="77777777">
            <w:pPr>
              <w:rPr>
                <w:sz w:val="14"/>
                <w:szCs w:val="16"/>
              </w:rPr>
            </w:pPr>
          </w:p>
        </w:tc>
        <w:tc>
          <w:tcPr>
            <w:tcW w:w="4511" w:type="dxa"/>
            <w:gridSpan w:val="4"/>
          </w:tcPr>
          <w:p w:rsidR="004A5769" w:rsidRPr="00846ABF" w:rsidP="004A5769" w14:paraId="5A48BCDB" w14:textId="77777777">
            <w:pPr>
              <w:rPr>
                <w:sz w:val="14"/>
                <w:szCs w:val="16"/>
              </w:rPr>
            </w:pPr>
            <w:r w:rsidRPr="00846ABF">
              <w:rPr>
                <w:sz w:val="14"/>
                <w:szCs w:val="16"/>
              </w:rPr>
              <w:t>Saksbehandler, innvalgstelefon</w:t>
            </w:r>
          </w:p>
        </w:tc>
      </w:tr>
      <w:tr w14:paraId="75575C6D" w14:textId="77777777" w:rsidTr="00955A55">
        <w:tblPrEx>
          <w:tblW w:w="9351" w:type="dxa"/>
          <w:tblCellMar>
            <w:left w:w="0" w:type="dxa"/>
            <w:right w:w="0" w:type="dxa"/>
          </w:tblCellMar>
          <w:tblLook w:val="04A0"/>
        </w:tblPrEx>
        <w:tc>
          <w:tcPr>
            <w:tcW w:w="4820" w:type="dxa"/>
            <w:tcMar>
              <w:left w:w="0" w:type="dxa"/>
              <w:right w:w="0" w:type="dxa"/>
            </w:tcMar>
          </w:tcPr>
          <w:p w:rsidR="004A5769" w:rsidRPr="006D6DE6" w:rsidP="004A5769" w14:paraId="1FCE29C2" w14:textId="77777777">
            <w:bookmarkStart w:id="3" w:name="Mottakernavn"/>
            <w:bookmarkEnd w:id="3"/>
          </w:p>
        </w:tc>
        <w:tc>
          <w:tcPr>
            <w:tcW w:w="20" w:type="dxa"/>
            <w:tcMar>
              <w:left w:w="0" w:type="dxa"/>
              <w:right w:w="0" w:type="dxa"/>
            </w:tcMar>
          </w:tcPr>
          <w:p w:rsidR="004A5769" w:rsidRPr="006D6DE6" w:rsidP="004A5769" w14:paraId="4324BCC9" w14:textId="77777777">
            <w:pPr>
              <w:jc w:val="center"/>
            </w:pPr>
          </w:p>
        </w:tc>
        <w:tc>
          <w:tcPr>
            <w:tcW w:w="4511" w:type="dxa"/>
            <w:gridSpan w:val="4"/>
          </w:tcPr>
          <w:p w:rsidR="004A5769" w:rsidRPr="006D6DE6" w:rsidP="004A5769" w14:paraId="736B4588" w14:textId="77777777">
            <w:pPr>
              <w:rPr>
                <w:szCs w:val="18"/>
              </w:rPr>
            </w:pPr>
            <w:bookmarkStart w:id="4" w:name="SaksbehandlerNavn"/>
            <w:r w:rsidRPr="006D6DE6">
              <w:rPr>
                <w:szCs w:val="18"/>
              </w:rPr>
              <w:t>Eva Dybwad Alstad</w:t>
            </w:r>
            <w:bookmarkEnd w:id="4"/>
            <w:r w:rsidRPr="006D6DE6">
              <w:rPr>
                <w:szCs w:val="18"/>
              </w:rPr>
              <w:t xml:space="preserve">, </w:t>
            </w:r>
            <w:bookmarkStart w:id="5" w:name="saksbehtlf"/>
            <w:r w:rsidRPr="006D6DE6">
              <w:rPr>
                <w:szCs w:val="18"/>
              </w:rPr>
              <w:t>73 19 92 75</w:t>
            </w:r>
            <w:bookmarkEnd w:id="5"/>
          </w:p>
        </w:tc>
      </w:tr>
      <w:tr w14:paraId="24EF58EE" w14:textId="77777777" w:rsidTr="00955A55">
        <w:tblPrEx>
          <w:tblW w:w="9351" w:type="dxa"/>
          <w:tblCellMar>
            <w:left w:w="0" w:type="dxa"/>
            <w:right w:w="0" w:type="dxa"/>
          </w:tblCellMar>
          <w:tblLook w:val="04A0"/>
        </w:tblPrEx>
        <w:tc>
          <w:tcPr>
            <w:tcW w:w="4820" w:type="dxa"/>
          </w:tcPr>
          <w:p w:rsidR="007F6A5E" w:rsidRPr="006D6DE6" w:rsidP="004A5769" w14:paraId="3381C2B3" w14:textId="77777777"/>
        </w:tc>
        <w:tc>
          <w:tcPr>
            <w:tcW w:w="20" w:type="dxa"/>
          </w:tcPr>
          <w:p w:rsidR="007F6A5E" w:rsidRPr="006D6DE6" w:rsidP="004A5769" w14:paraId="141725AC" w14:textId="77777777"/>
        </w:tc>
        <w:tc>
          <w:tcPr>
            <w:tcW w:w="4511" w:type="dxa"/>
            <w:gridSpan w:val="4"/>
          </w:tcPr>
          <w:p w:rsidR="007F6A5E" w:rsidRPr="006D6DE6" w:rsidP="004A5769" w14:paraId="570CE663" w14:textId="77777777">
            <w:pPr>
              <w:rPr>
                <w:szCs w:val="18"/>
              </w:rPr>
            </w:pPr>
          </w:p>
        </w:tc>
      </w:tr>
      <w:tr w14:paraId="59B43174" w14:textId="77777777" w:rsidTr="00955A55">
        <w:tblPrEx>
          <w:tblW w:w="9351" w:type="dxa"/>
          <w:tblCellMar>
            <w:left w:w="0" w:type="dxa"/>
            <w:right w:w="0" w:type="dxa"/>
          </w:tblCellMar>
          <w:tblLook w:val="04A0"/>
        </w:tblPrEx>
        <w:tc>
          <w:tcPr>
            <w:tcW w:w="4820" w:type="dxa"/>
          </w:tcPr>
          <w:p w:rsidR="004A5769" w:rsidRPr="00846ABF" w:rsidP="004A5769" w14:paraId="0D336AB2" w14:textId="77777777">
            <w:pPr>
              <w:rPr>
                <w:sz w:val="14"/>
              </w:rPr>
            </w:pPr>
          </w:p>
        </w:tc>
        <w:tc>
          <w:tcPr>
            <w:tcW w:w="20" w:type="dxa"/>
          </w:tcPr>
          <w:p w:rsidR="004A5769" w:rsidRPr="00846ABF" w:rsidP="004A5769" w14:paraId="0890E60A" w14:textId="77777777">
            <w:pPr>
              <w:rPr>
                <w:sz w:val="14"/>
              </w:rPr>
            </w:pPr>
          </w:p>
        </w:tc>
        <w:tc>
          <w:tcPr>
            <w:tcW w:w="4511" w:type="dxa"/>
            <w:gridSpan w:val="4"/>
          </w:tcPr>
          <w:p w:rsidR="004A5769" w:rsidRPr="006D6DE6" w:rsidP="004A5769" w14:paraId="39D5CA07" w14:textId="77777777">
            <w:pPr>
              <w:rPr>
                <w:szCs w:val="18"/>
              </w:rPr>
            </w:pPr>
            <w:bookmarkStart w:id="6" w:name="UoffParagraf"/>
            <w:bookmarkEnd w:id="6"/>
          </w:p>
        </w:tc>
      </w:tr>
    </w:tbl>
    <w:p w:rsidR="00B67D60" w:rsidP="007B6A54" w14:paraId="70DA10D8" w14:textId="77777777">
      <w:bookmarkStart w:id="7" w:name="Fasttabell"/>
      <w:bookmarkStart w:id="8" w:name="INTERNKOPITILTABELL"/>
      <w:bookmarkEnd w:id="7"/>
      <w:bookmarkEnd w:id="8"/>
    </w:p>
    <w:p w:rsidR="007F6A5E" w:rsidP="00A81FDC" w14:paraId="78C52946" w14:textId="77777777"/>
    <w:p w:rsidR="007F6A5E" w:rsidRPr="00E12143" w:rsidP="00A81FDC" w14:paraId="3ECD578B" w14:textId="77777777">
      <w:pPr>
        <w:sectPr w:rsidSect="008C38E0">
          <w:headerReference w:type="default" r:id="rId6"/>
          <w:pgSz w:w="11906" w:h="16838"/>
          <w:pgMar w:top="851" w:right="1106" w:bottom="1531" w:left="1418" w:header="709" w:footer="709" w:gutter="0"/>
          <w:cols w:space="708"/>
          <w:titlePg/>
          <w:docGrid w:linePitch="360"/>
        </w:sectPr>
      </w:pPr>
    </w:p>
    <w:p w:rsidR="00226258" w:rsidRPr="00CB3E20" w:rsidP="007D26E4" w14:paraId="66A445BD" w14:textId="77777777">
      <w:pPr>
        <w:pStyle w:val="Heading1"/>
        <w:rPr>
          <w:sz w:val="32"/>
          <w:szCs w:val="32"/>
        </w:rPr>
      </w:pPr>
      <w:bookmarkStart w:id="9" w:name="Tittel"/>
      <w:r w:rsidRPr="00CB3E20">
        <w:rPr>
          <w:sz w:val="32"/>
          <w:szCs w:val="32"/>
        </w:rPr>
        <w:t>Til</w:t>
      </w:r>
      <w:r w:rsidRPr="00CB3E20" w:rsidR="00491E4C">
        <w:rPr>
          <w:sz w:val="32"/>
          <w:szCs w:val="32"/>
        </w:rPr>
        <w:t>skudd til til</w:t>
      </w:r>
      <w:r w:rsidRPr="00CB3E20">
        <w:rPr>
          <w:sz w:val="32"/>
          <w:szCs w:val="32"/>
        </w:rPr>
        <w:t xml:space="preserve">tak i beiteområder - kommunale rammer </w:t>
      </w:r>
      <w:r w:rsidRPr="00CB3E20" w:rsidR="00491E4C">
        <w:rPr>
          <w:sz w:val="32"/>
          <w:szCs w:val="32"/>
        </w:rPr>
        <w:t xml:space="preserve">i Trøndelag </w:t>
      </w:r>
      <w:r w:rsidRPr="00CB3E20">
        <w:rPr>
          <w:sz w:val="32"/>
          <w:szCs w:val="32"/>
        </w:rPr>
        <w:t>og prioriteringer i 2023</w:t>
      </w:r>
      <w:bookmarkEnd w:id="9"/>
    </w:p>
    <w:p w:rsidR="00B461C3" w:rsidP="00B461C3" w14:paraId="4714401F" w14:textId="77777777">
      <w:bookmarkStart w:id="10" w:name="Start"/>
      <w:bookmarkEnd w:id="10"/>
    </w:p>
    <w:p w:rsidR="00112B39" w:rsidRPr="00B96404" w:rsidP="00112B39" w14:paraId="612B84CB" w14:textId="77777777">
      <w:pPr>
        <w:rPr>
          <w:rFonts w:eastAsia="Times New Roman" w:cs="Open Sans"/>
          <w:b/>
          <w:bCs/>
          <w:i/>
          <w:iCs/>
          <w:color w:val="000000"/>
          <w:szCs w:val="20"/>
          <w:lang w:eastAsia="nb-NO"/>
        </w:rPr>
      </w:pPr>
      <w:r w:rsidRPr="00B96404">
        <w:rPr>
          <w:rFonts w:eastAsia="Times New Roman" w:cs="Open Sans"/>
          <w:b/>
          <w:bCs/>
          <w:i/>
          <w:iCs/>
          <w:color w:val="000000"/>
          <w:szCs w:val="20"/>
          <w:lang w:eastAsia="nb-NO"/>
        </w:rPr>
        <w:t xml:space="preserve">Fylkesrammen for tilskudd til tiltak i beiteområder i 2023 er nå fordelt i </w:t>
      </w:r>
      <w:r w:rsidRPr="00B96404">
        <w:rPr>
          <w:rFonts w:eastAsia="Times New Roman" w:cs="Open Sans"/>
          <w:b/>
          <w:bCs/>
          <w:i/>
          <w:iCs/>
          <w:color w:val="000000"/>
          <w:szCs w:val="20"/>
          <w:lang w:eastAsia="nb-NO"/>
        </w:rPr>
        <w:t>Agros</w:t>
      </w:r>
      <w:r w:rsidRPr="00B96404">
        <w:rPr>
          <w:rFonts w:eastAsia="Times New Roman" w:cs="Open Sans"/>
          <w:b/>
          <w:bCs/>
          <w:i/>
          <w:iCs/>
          <w:color w:val="000000"/>
          <w:szCs w:val="20"/>
          <w:lang w:eastAsia="nb-NO"/>
        </w:rPr>
        <w:t xml:space="preserve"> på kommunene i Trøndelag. Oversikt over kommunale rammer er satt opp i tabell nederst i vedlegget.</w:t>
      </w:r>
    </w:p>
    <w:p w:rsidR="00112B39" w:rsidP="00112B39" w14:paraId="5D924E7D" w14:textId="77777777">
      <w:pPr>
        <w:rPr>
          <w:rFonts w:eastAsia="Times New Roman" w:cs="Open Sans"/>
          <w:b/>
          <w:bCs/>
          <w:i/>
          <w:iCs/>
          <w:color w:val="000000"/>
          <w:szCs w:val="20"/>
          <w:lang w:eastAsia="nb-NO"/>
        </w:rPr>
      </w:pPr>
    </w:p>
    <w:p w:rsidR="00112B39" w:rsidP="00112B39" w14:paraId="50D9FD15" w14:textId="77777777">
      <w:pPr>
        <w:rPr>
          <w:rFonts w:eastAsia="Times New Roman" w:cs="Open Sans"/>
          <w:b/>
          <w:bCs/>
          <w:i/>
          <w:iCs/>
          <w:color w:val="000000"/>
          <w:szCs w:val="20"/>
          <w:lang w:eastAsia="nb-NO"/>
        </w:rPr>
      </w:pPr>
      <w:r w:rsidRPr="00B96404">
        <w:rPr>
          <w:rFonts w:eastAsia="Times New Roman" w:cs="Open Sans"/>
          <w:b/>
          <w:bCs/>
          <w:i/>
          <w:iCs/>
          <w:color w:val="000000"/>
          <w:szCs w:val="20"/>
          <w:lang w:eastAsia="nb-NO"/>
        </w:rPr>
        <w:t xml:space="preserve">I dette vedlegget informerer vi også kort om ordningen og hvordan Statsforvalteren har prioritert ved fordeling, samt føringer for kommunenes forvaltning av midlene i 2023. </w:t>
      </w:r>
    </w:p>
    <w:p w:rsidR="00112B39" w:rsidP="00112B39" w14:paraId="55CEE924" w14:textId="77777777">
      <w:pPr>
        <w:rPr>
          <w:rFonts w:eastAsia="Times New Roman" w:cs="Open Sans"/>
          <w:b/>
          <w:bCs/>
          <w:i/>
          <w:iCs/>
          <w:color w:val="000000"/>
          <w:szCs w:val="20"/>
          <w:lang w:eastAsia="nb-NO"/>
        </w:rPr>
      </w:pPr>
    </w:p>
    <w:p w:rsidR="00112B39" w:rsidRPr="00B96404" w:rsidP="00112B39" w14:paraId="7DD2F419" w14:textId="77777777">
      <w:pPr>
        <w:rPr>
          <w:rFonts w:eastAsia="Times New Roman" w:cs="Open Sans"/>
          <w:b/>
          <w:bCs/>
          <w:i/>
          <w:iCs/>
          <w:color w:val="000000"/>
          <w:szCs w:val="20"/>
          <w:lang w:eastAsia="nb-NO"/>
        </w:rPr>
      </w:pPr>
      <w:r w:rsidRPr="00B96404">
        <w:rPr>
          <w:rFonts w:eastAsia="Times New Roman" w:cs="Open Sans"/>
          <w:b/>
          <w:bCs/>
          <w:i/>
          <w:iCs/>
          <w:color w:val="000000"/>
          <w:szCs w:val="20"/>
          <w:lang w:eastAsia="nb-NO"/>
        </w:rPr>
        <w:t xml:space="preserve">Merk spesielt eget avsnitt om bruk av tilskudd til elektronisk overvåkingsutstyr og </w:t>
      </w:r>
      <w:r w:rsidRPr="00B96404">
        <w:rPr>
          <w:rFonts w:eastAsia="Times New Roman" w:cs="Open Sans"/>
          <w:b/>
          <w:bCs/>
          <w:i/>
          <w:iCs/>
          <w:color w:val="000000"/>
          <w:szCs w:val="20"/>
          <w:lang w:eastAsia="nb-NO"/>
        </w:rPr>
        <w:t>nofence</w:t>
      </w:r>
      <w:r w:rsidRPr="00B96404">
        <w:rPr>
          <w:rFonts w:eastAsia="Times New Roman" w:cs="Open Sans"/>
          <w:b/>
          <w:bCs/>
          <w:i/>
          <w:iCs/>
          <w:color w:val="000000"/>
          <w:szCs w:val="20"/>
          <w:lang w:eastAsia="nb-NO"/>
        </w:rPr>
        <w:t xml:space="preserve"> der vi har lagt inn noen presiseringer som kommunene må kjenne til.  </w:t>
      </w:r>
    </w:p>
    <w:p w:rsidR="00112B39" w:rsidRPr="00B96404" w:rsidP="00112B39" w14:paraId="20EB641C" w14:textId="77777777">
      <w:pPr>
        <w:rPr>
          <w:rFonts w:eastAsia="Times New Roman" w:cs="Open Sans"/>
          <w:b/>
          <w:bCs/>
          <w:i/>
          <w:iCs/>
          <w:color w:val="000000"/>
          <w:szCs w:val="20"/>
          <w:lang w:eastAsia="nb-NO"/>
        </w:rPr>
      </w:pPr>
    </w:p>
    <w:p w:rsidR="00112B39" w:rsidP="00112B39" w14:paraId="016C57EC" w14:textId="77777777">
      <w:pPr>
        <w:rPr>
          <w:rFonts w:eastAsia="Times New Roman" w:cs="Open Sans"/>
          <w:b/>
          <w:bCs/>
          <w:i/>
          <w:iCs/>
          <w:color w:val="000000"/>
          <w:sz w:val="24"/>
          <w:szCs w:val="24"/>
          <w:lang w:eastAsia="nb-NO"/>
        </w:rPr>
      </w:pPr>
    </w:p>
    <w:p w:rsidR="00112B39" w:rsidRPr="00B96404" w:rsidP="00112B39" w14:paraId="3475B2BB"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Mål og målgruppe for ordningen</w:t>
      </w:r>
    </w:p>
    <w:p w:rsidR="00112B39" w:rsidRPr="00B96404" w:rsidP="00112B39" w14:paraId="22567A0A" w14:textId="77777777">
      <w:pPr>
        <w:rPr>
          <w:rFonts w:eastAsia="Times New Roman" w:cs="Open Sans"/>
          <w:color w:val="000000"/>
          <w:szCs w:val="20"/>
          <w:lang w:eastAsia="nb-NO"/>
        </w:rPr>
      </w:pPr>
      <w:r w:rsidRPr="00B96404">
        <w:rPr>
          <w:rFonts w:eastAsia="Times New Roman" w:cs="Open Sans"/>
          <w:color w:val="000000"/>
          <w:szCs w:val="20"/>
          <w:lang w:eastAsia="nb-NO"/>
        </w:rPr>
        <w:t>Formålet med tilskuddet er å legge til rette for best mulig utnyttelse av beite i utmark, redusere tap av dyr på utmarksbeite og fremme fellestiltak i beiteområdene.</w:t>
      </w:r>
    </w:p>
    <w:p w:rsidR="00112B39" w:rsidRPr="00B96404" w:rsidP="00112B39" w14:paraId="6A94A942" w14:textId="77777777">
      <w:pPr>
        <w:rPr>
          <w:rFonts w:eastAsia="Times New Roman" w:cs="Open Sans"/>
          <w:color w:val="000000"/>
          <w:szCs w:val="20"/>
          <w:lang w:eastAsia="nb-NO"/>
        </w:rPr>
      </w:pPr>
    </w:p>
    <w:p w:rsidR="00112B39" w:rsidRPr="00B96404" w:rsidP="00112B39" w14:paraId="642E4671" w14:textId="77777777">
      <w:pPr>
        <w:rPr>
          <w:rFonts w:eastAsia="Times New Roman" w:cs="Open Sans"/>
          <w:color w:val="000000"/>
          <w:szCs w:val="20"/>
          <w:lang w:eastAsia="nb-NO"/>
        </w:rPr>
      </w:pPr>
      <w:r w:rsidRPr="00B96404">
        <w:rPr>
          <w:rFonts w:eastAsia="Times New Roman" w:cs="Open Sans"/>
          <w:color w:val="000000"/>
          <w:szCs w:val="20"/>
          <w:lang w:eastAsia="nb-NO"/>
        </w:rPr>
        <w:t>Tilskudd kan gis til lag eller foreninger (beitelag, grunneierlag, radiobjellelag) som er registrert i enhetsregisteret, som driver næringsmessig beitedrift og som iverksetter investeringstiltak og/eller planleggings- og tilretteleggingsprosjekter i beiteområder.</w:t>
      </w:r>
    </w:p>
    <w:p w:rsidR="00112B39" w:rsidRPr="00B96404" w:rsidP="00112B39" w14:paraId="5E515024" w14:textId="77777777">
      <w:pPr>
        <w:rPr>
          <w:rFonts w:eastAsia="Times New Roman" w:cs="Open Sans"/>
          <w:color w:val="000000"/>
          <w:szCs w:val="20"/>
          <w:lang w:eastAsia="nb-NO"/>
        </w:rPr>
      </w:pPr>
    </w:p>
    <w:p w:rsidR="00112B39" w:rsidRPr="00B96404" w:rsidP="00112B39" w14:paraId="707C4EEA" w14:textId="77777777">
      <w:pPr>
        <w:rPr>
          <w:rFonts w:eastAsia="Times New Roman" w:cs="Open Sans"/>
          <w:color w:val="000000"/>
          <w:szCs w:val="20"/>
          <w:lang w:eastAsia="nb-NO"/>
        </w:rPr>
      </w:pPr>
      <w:r w:rsidRPr="00B96404">
        <w:rPr>
          <w:rFonts w:eastAsia="Times New Roman" w:cs="Open Sans"/>
          <w:color w:val="000000"/>
          <w:szCs w:val="20"/>
          <w:lang w:eastAsia="nb-NO"/>
        </w:rPr>
        <w:t>Tilsvarende gjelder for foretak som kan gis produksjonstilskudd etter § 2 i</w:t>
      </w:r>
      <w:r w:rsidRPr="00B96404">
        <w:rPr>
          <w:rFonts w:ascii="Arial" w:eastAsia="Times New Roman" w:hAnsi="Arial" w:cs="Arial"/>
          <w:color w:val="000000"/>
          <w:szCs w:val="20"/>
          <w:lang w:eastAsia="nb-NO"/>
        </w:rPr>
        <w:t> </w:t>
      </w:r>
      <w:r w:rsidRPr="00B96404">
        <w:rPr>
          <w:rFonts w:eastAsia="Times New Roman" w:cs="Open Sans"/>
          <w:color w:val="000000"/>
          <w:szCs w:val="20"/>
          <w:lang w:eastAsia="nb-NO"/>
        </w:rPr>
        <w:t>forskrift 19. desember 2014 nr. 1817</w:t>
      </w:r>
      <w:r w:rsidRPr="00B96404">
        <w:rPr>
          <w:rFonts w:ascii="Arial" w:eastAsia="Times New Roman" w:hAnsi="Arial" w:cs="Arial"/>
          <w:color w:val="000000"/>
          <w:szCs w:val="20"/>
          <w:lang w:eastAsia="nb-NO"/>
        </w:rPr>
        <w:t> </w:t>
      </w:r>
      <w:r w:rsidRPr="00B96404">
        <w:rPr>
          <w:rFonts w:eastAsia="Times New Roman" w:cs="Open Sans"/>
          <w:color w:val="000000"/>
          <w:szCs w:val="20"/>
          <w:lang w:eastAsia="nb-NO"/>
        </w:rPr>
        <w:t>om produksjonstilskudd og avløser tilskudd i jordbruket der det grunnet naturgitte eller driftsmessige forhold ikke ligger til rette for samarbeid. Stat, fylke eller kommune kan ikke gis tilskudd med mindre det søkes gjennom lag og forening der også en eller flere tilskudds berettigede eiendommer er med.</w:t>
      </w:r>
    </w:p>
    <w:p w:rsidR="00112B39" w:rsidRPr="00B96404" w:rsidP="00112B39" w14:paraId="6BEC5F0A" w14:textId="77777777">
      <w:pPr>
        <w:rPr>
          <w:rFonts w:eastAsia="Times New Roman" w:cs="Open Sans"/>
          <w:b/>
          <w:bCs/>
          <w:i/>
          <w:iCs/>
          <w:color w:val="000000"/>
          <w:szCs w:val="20"/>
          <w:lang w:eastAsia="nb-NO"/>
        </w:rPr>
      </w:pPr>
    </w:p>
    <w:p w:rsidR="00112B39" w:rsidRPr="00B96404" w:rsidP="00112B39" w14:paraId="66070289" w14:textId="77777777">
      <w:pPr>
        <w:rPr>
          <w:rFonts w:eastAsia="Times New Roman" w:cs="Open Sans"/>
          <w:color w:val="0563C1"/>
          <w:szCs w:val="20"/>
          <w:lang w:eastAsia="nb-NO"/>
        </w:rPr>
      </w:pPr>
    </w:p>
    <w:p w:rsidR="00112B39" w:rsidRPr="00B96404" w:rsidP="00112B39" w14:paraId="35F91E02"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Beløpsmessige rammer for 2023 og prioriteringer ved tildeling</w:t>
      </w:r>
    </w:p>
    <w:p w:rsidR="00112B39" w:rsidRPr="00B96404" w:rsidP="00112B39" w14:paraId="3100FD35"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Gjennom jordbruksavtalen er det nasjonalt satt av 30 mill. til tiltak i beiteområder i 2022, hvorav 6,5 mill. er øremerket CWD tiltak, som forvaltes gjennom Oslo og Viken. Gjenstående 23,5 mill. er fordelt på fylkene. </w:t>
      </w:r>
    </w:p>
    <w:p w:rsidR="00112B39" w:rsidRPr="00B96404" w:rsidP="00112B39" w14:paraId="0DFEA2DD" w14:textId="77777777">
      <w:pPr>
        <w:rPr>
          <w:rFonts w:eastAsia="Times New Roman" w:cs="Open Sans"/>
          <w:color w:val="000000"/>
          <w:szCs w:val="20"/>
          <w:lang w:eastAsia="nb-NO"/>
        </w:rPr>
      </w:pPr>
    </w:p>
    <w:p w:rsidR="00112B39" w:rsidRPr="00B96404" w:rsidP="00112B39" w14:paraId="7CBAAC22" w14:textId="77777777">
      <w:pPr>
        <w:rPr>
          <w:rFonts w:eastAsia="Times New Roman" w:cs="Open Sans"/>
          <w:color w:val="000000"/>
          <w:szCs w:val="20"/>
          <w:lang w:eastAsia="nb-NO"/>
        </w:rPr>
      </w:pPr>
      <w:r w:rsidRPr="00B96404">
        <w:rPr>
          <w:rFonts w:eastAsia="Times New Roman" w:cs="Open Sans"/>
          <w:color w:val="000000"/>
          <w:szCs w:val="20"/>
          <w:lang w:eastAsia="nb-NO"/>
        </w:rPr>
        <w:t>Av dette er Statsforvalteren i Trøndelag tildelt 4,94 mill. kr til tiltak i beiteområder i 2023. I tillegg er det overført kr 120 000,- i ubrukte midler fra 2022.</w:t>
      </w:r>
    </w:p>
    <w:p w:rsidR="00112B39" w:rsidRPr="00B96404" w:rsidP="00112B39" w14:paraId="206A88DE" w14:textId="77777777">
      <w:pPr>
        <w:rPr>
          <w:rFonts w:eastAsia="Times New Roman" w:cs="Open Sans"/>
          <w:color w:val="000000"/>
          <w:szCs w:val="20"/>
          <w:lang w:eastAsia="nb-NO"/>
        </w:rPr>
      </w:pPr>
    </w:p>
    <w:p w:rsidR="00112B39" w:rsidRPr="00B96404" w:rsidP="00112B39" w14:paraId="32117182" w14:textId="77777777">
      <w:pPr>
        <w:rPr>
          <w:rFonts w:eastAsia="Times New Roman" w:cs="Open Sans"/>
          <w:b/>
          <w:bCs/>
          <w:color w:val="000000"/>
          <w:szCs w:val="20"/>
          <w:lang w:eastAsia="nb-NO"/>
        </w:rPr>
      </w:pPr>
      <w:r w:rsidRPr="00B96404">
        <w:rPr>
          <w:rFonts w:eastAsia="Times New Roman" w:cs="Open Sans"/>
          <w:color w:val="000000"/>
          <w:szCs w:val="20"/>
          <w:lang w:eastAsia="nb-NO"/>
        </w:rPr>
        <w:t>Tilgjengelig ramme til fordeling på kommunene i Trøndelag i 2023 er samlet</w:t>
      </w:r>
      <w:r w:rsidRPr="00B96404">
        <w:rPr>
          <w:rFonts w:eastAsia="Times New Roman" w:cs="Open Sans"/>
          <w:b/>
          <w:bCs/>
          <w:color w:val="000000"/>
          <w:szCs w:val="20"/>
          <w:lang w:eastAsia="nb-NO"/>
        </w:rPr>
        <w:t>: kr 5 060</w:t>
      </w:r>
      <w:r w:rsidRPr="00B96404">
        <w:rPr>
          <w:rFonts w:ascii="Arial" w:eastAsia="Times New Roman" w:hAnsi="Arial" w:cs="Arial"/>
          <w:b/>
          <w:bCs/>
          <w:color w:val="000000"/>
          <w:szCs w:val="20"/>
          <w:lang w:eastAsia="nb-NO"/>
        </w:rPr>
        <w:t> </w:t>
      </w:r>
      <w:r w:rsidRPr="00B96404">
        <w:rPr>
          <w:rFonts w:eastAsia="Times New Roman" w:cs="Open Sans"/>
          <w:b/>
          <w:bCs/>
          <w:color w:val="000000"/>
          <w:szCs w:val="20"/>
          <w:lang w:eastAsia="nb-NO"/>
        </w:rPr>
        <w:t>000,-.</w:t>
      </w:r>
    </w:p>
    <w:p w:rsidR="00112B39" w:rsidRPr="00B96404" w:rsidP="00112B39" w14:paraId="623C5F4B"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Midlene er nå fordelt fylkesrammen på kommunene i Trøndelag i </w:t>
      </w:r>
      <w:r w:rsidRPr="00B96404">
        <w:rPr>
          <w:rFonts w:eastAsia="Times New Roman" w:cs="Open Sans"/>
          <w:color w:val="000000"/>
          <w:szCs w:val="20"/>
          <w:lang w:eastAsia="nb-NO"/>
        </w:rPr>
        <w:t>Agros</w:t>
      </w:r>
      <w:r w:rsidRPr="00B96404">
        <w:rPr>
          <w:rFonts w:eastAsia="Times New Roman" w:cs="Open Sans"/>
          <w:color w:val="000000"/>
          <w:szCs w:val="20"/>
          <w:lang w:eastAsia="nb-NO"/>
        </w:rPr>
        <w:t>. Oversikt over tildelt ramme per kommune ligger bakerst i dokumentet.</w:t>
      </w:r>
    </w:p>
    <w:p w:rsidR="00112B39" w:rsidRPr="00B96404" w:rsidP="00112B39" w14:paraId="41209CA2"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I tillegg til tildelte midler har kommunene mulighet til å benytte inndratte midler i løpet av 2023. Dere finner oversikt over inndratte midler i </w:t>
      </w:r>
      <w:r w:rsidRPr="00B96404">
        <w:rPr>
          <w:rFonts w:eastAsia="Times New Roman" w:cs="Open Sans"/>
          <w:color w:val="000000"/>
          <w:szCs w:val="20"/>
          <w:lang w:eastAsia="nb-NO"/>
        </w:rPr>
        <w:t>Agros</w:t>
      </w:r>
      <w:r w:rsidRPr="00B96404">
        <w:rPr>
          <w:rFonts w:eastAsia="Times New Roman" w:cs="Open Sans"/>
          <w:color w:val="000000"/>
          <w:szCs w:val="20"/>
          <w:lang w:eastAsia="nb-NO"/>
        </w:rPr>
        <w:t>.</w:t>
      </w:r>
    </w:p>
    <w:p w:rsidR="00112B39" w:rsidRPr="00B96404" w:rsidP="00112B39" w14:paraId="1B25CB45" w14:textId="77777777">
      <w:pPr>
        <w:rPr>
          <w:rFonts w:eastAsia="Times New Roman" w:cs="Open Sans"/>
          <w:b/>
          <w:bCs/>
          <w:i/>
          <w:iCs/>
          <w:color w:val="000000"/>
          <w:szCs w:val="20"/>
          <w:lang w:eastAsia="nb-NO"/>
        </w:rPr>
      </w:pPr>
    </w:p>
    <w:p w:rsidR="00112B39" w:rsidRPr="00B96404" w:rsidP="00112B39" w14:paraId="13F3D66F" w14:textId="77777777">
      <w:pPr>
        <w:rPr>
          <w:rFonts w:eastAsia="Times New Roman" w:cs="Open Sans"/>
          <w:b/>
          <w:bCs/>
          <w:i/>
          <w:iCs/>
          <w:color w:val="000000"/>
          <w:szCs w:val="20"/>
          <w:lang w:eastAsia="nb-NO"/>
        </w:rPr>
      </w:pPr>
    </w:p>
    <w:p w:rsidR="00112B39" w:rsidRPr="00B96404" w:rsidP="00112B39" w14:paraId="0C7614ED"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Prioriteringer ved fordeling på kommunene</w:t>
      </w:r>
    </w:p>
    <w:p w:rsidR="00112B39" w:rsidRPr="00B96404" w:rsidP="00112B39" w14:paraId="290D8F35" w14:textId="77777777">
      <w:pPr>
        <w:rPr>
          <w:rFonts w:eastAsia="Times New Roman" w:cs="Open Sans"/>
          <w:color w:val="000000"/>
          <w:szCs w:val="20"/>
          <w:lang w:eastAsia="nb-NO"/>
        </w:rPr>
      </w:pPr>
      <w:r w:rsidRPr="00B96404">
        <w:rPr>
          <w:rFonts w:eastAsia="Times New Roman" w:cs="Open Sans"/>
          <w:color w:val="000000"/>
          <w:szCs w:val="20"/>
          <w:lang w:eastAsia="nb-NO"/>
        </w:rPr>
        <w:t>Ved fordeling av midler til kommunene i 2023 har vi hensyntatt på følgende parametere:</w:t>
      </w:r>
    </w:p>
    <w:p w:rsidR="00112B39" w:rsidRPr="00B96404" w:rsidP="00112B39" w14:paraId="083BA632" w14:textId="77777777">
      <w:pPr>
        <w:rPr>
          <w:rFonts w:eastAsia="Times New Roman" w:cs="Open Sans"/>
          <w:color w:val="000000"/>
          <w:szCs w:val="20"/>
          <w:lang w:eastAsia="nb-NO"/>
        </w:rPr>
      </w:pPr>
    </w:p>
    <w:p w:rsidR="00112B39" w:rsidRPr="00B96404" w:rsidP="00112B39" w14:paraId="736379A5" w14:textId="77777777">
      <w:pPr>
        <w:rPr>
          <w:rFonts w:eastAsia="Times New Roman" w:cs="Open Sans"/>
          <w:color w:val="000000"/>
          <w:szCs w:val="20"/>
          <w:lang w:eastAsia="nb-NO"/>
        </w:rPr>
      </w:pPr>
      <w:r w:rsidRPr="00B96404">
        <w:rPr>
          <w:rFonts w:eastAsia="Times New Roman" w:cs="Open Sans"/>
          <w:color w:val="000000"/>
          <w:szCs w:val="20"/>
          <w:lang w:eastAsia="nb-NO"/>
        </w:rPr>
        <w:t>1) Tall fra organisert beitebruk (OBB) per kommune fra søknadsomgangen 2022, dvs. antall beitelag, medlemmer i laga og antall dyr på utmarksbeite.</w:t>
      </w:r>
    </w:p>
    <w:p w:rsidR="00112B39" w:rsidRPr="00B96404" w:rsidP="00112B39" w14:paraId="4A3E9299"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2) Innmeldt behov for midler til tiltak i beiteområder fra kommunene per 10.11.2022 </w:t>
      </w:r>
    </w:p>
    <w:p w:rsidR="00112B39" w:rsidP="00112B39" w14:paraId="4DB405D9" w14:textId="77777777">
      <w:pPr>
        <w:rPr>
          <w:rFonts w:cs="Open Sans"/>
          <w:szCs w:val="20"/>
        </w:rPr>
      </w:pPr>
    </w:p>
    <w:p w:rsidR="00112B39" w:rsidRPr="00B96404" w:rsidP="00112B39" w14:paraId="0E5147BA" w14:textId="77777777">
      <w:pPr>
        <w:rPr>
          <w:rFonts w:cs="Open Sans"/>
          <w:szCs w:val="20"/>
        </w:rPr>
      </w:pPr>
      <w:r w:rsidRPr="00B96404">
        <w:rPr>
          <w:rFonts w:cs="Open Sans"/>
          <w:szCs w:val="20"/>
        </w:rPr>
        <w:t xml:space="preserve">Øvrige prioriteringer: </w:t>
      </w:r>
    </w:p>
    <w:p w:rsidR="00112B39" w:rsidP="00112B39" w14:paraId="5F3961A4" w14:textId="77777777">
      <w:pPr>
        <w:rPr>
          <w:rFonts w:cs="Open Sans"/>
          <w:szCs w:val="20"/>
        </w:rPr>
      </w:pPr>
      <w:r w:rsidRPr="00B96404">
        <w:rPr>
          <w:rFonts w:cs="Open Sans"/>
          <w:szCs w:val="20"/>
        </w:rPr>
        <w:t>Prioritering av midler til kommuner som iverksetter revidering/ny beitebruksplan og kartlegging av beiteressurser i utmark.</w:t>
      </w:r>
      <w:r w:rsidRPr="00B96404">
        <w:rPr>
          <w:rFonts w:ascii="Arial" w:hAnsi="Arial" w:cs="Arial"/>
          <w:szCs w:val="20"/>
        </w:rPr>
        <w:t>  </w:t>
      </w:r>
      <w:r w:rsidRPr="00B96404">
        <w:rPr>
          <w:rFonts w:cs="Open Sans"/>
          <w:szCs w:val="20"/>
        </w:rPr>
        <w:t> </w:t>
      </w:r>
    </w:p>
    <w:p w:rsidR="00112B39" w:rsidRPr="00B96404" w:rsidP="00112B39" w14:paraId="3763BDD3" w14:textId="77777777">
      <w:pPr>
        <w:rPr>
          <w:rFonts w:cs="Open Sans"/>
          <w:szCs w:val="20"/>
        </w:rPr>
      </w:pPr>
    </w:p>
    <w:p w:rsidR="00112B39" w:rsidRPr="00B96404" w:rsidP="00112B39" w14:paraId="08761B0D" w14:textId="77777777">
      <w:pPr>
        <w:rPr>
          <w:rFonts w:eastAsia="Times New Roman" w:cs="Open Sans"/>
          <w:color w:val="000000"/>
          <w:szCs w:val="20"/>
          <w:lang w:eastAsia="nb-NO"/>
        </w:rPr>
      </w:pPr>
      <w:r w:rsidRPr="00B96404">
        <w:rPr>
          <w:rFonts w:eastAsia="Times New Roman" w:cs="Open Sans"/>
          <w:color w:val="000000"/>
          <w:szCs w:val="20"/>
          <w:lang w:eastAsia="nb-NO"/>
        </w:rPr>
        <w:t>Det settes av øremerkede midler til Steinkjer kommune og Oppdal kommune. Midlene skal gå til investeringer i Nord-Trøndelag- og Sør-Trøndelag radiobjellelag.</w:t>
      </w:r>
    </w:p>
    <w:p w:rsidR="00112B39" w:rsidRPr="00B96404" w:rsidP="00112B39" w14:paraId="35F87B91" w14:textId="77777777">
      <w:pPr>
        <w:rPr>
          <w:rFonts w:eastAsia="Times New Roman" w:cs="Open Sans"/>
          <w:color w:val="000000"/>
          <w:szCs w:val="20"/>
          <w:lang w:eastAsia="nb-NO"/>
        </w:rPr>
      </w:pPr>
    </w:p>
    <w:p w:rsidR="00112B39" w:rsidRPr="00B96404" w:rsidP="00112B39" w14:paraId="18A94C36" w14:textId="77777777">
      <w:pPr>
        <w:rPr>
          <w:rFonts w:eastAsia="Times New Roman" w:cs="Open Sans"/>
          <w:color w:val="000000"/>
          <w:szCs w:val="20"/>
          <w:lang w:eastAsia="nb-NO"/>
        </w:rPr>
      </w:pPr>
      <w:r w:rsidRPr="00B96404">
        <w:rPr>
          <w:rFonts w:eastAsia="Times New Roman" w:cs="Open Sans"/>
          <w:color w:val="000000"/>
          <w:szCs w:val="20"/>
          <w:lang w:eastAsia="nb-NO"/>
        </w:rPr>
        <w:t>Forslag til prioritering ved fordeling av midler på kommunene i 2023 har fått tilslutning i Fagråd jordbruk, jf. møte i fagrådet den 8.12.2022.</w:t>
      </w:r>
    </w:p>
    <w:p w:rsidR="00112B39" w:rsidRPr="00B96404" w:rsidP="00112B39" w14:paraId="31DD61A0" w14:textId="77777777">
      <w:pPr>
        <w:rPr>
          <w:rFonts w:eastAsia="Times New Roman" w:cs="Open Sans"/>
          <w:b/>
          <w:bCs/>
          <w:i/>
          <w:iCs/>
          <w:color w:val="000000"/>
          <w:szCs w:val="20"/>
          <w:lang w:eastAsia="nb-NO"/>
        </w:rPr>
      </w:pPr>
    </w:p>
    <w:p w:rsidR="00112B39" w:rsidRPr="00B96404" w:rsidP="00112B39" w14:paraId="14F6FED6" w14:textId="77777777">
      <w:pPr>
        <w:rPr>
          <w:rFonts w:eastAsia="Times New Roman" w:cs="Open Sans"/>
          <w:b/>
          <w:bCs/>
          <w:i/>
          <w:iCs/>
          <w:color w:val="000000"/>
          <w:szCs w:val="20"/>
          <w:lang w:eastAsia="nb-NO"/>
        </w:rPr>
      </w:pPr>
    </w:p>
    <w:p w:rsidR="00112B39" w:rsidRPr="00B96404" w:rsidP="00112B39" w14:paraId="629B04B3"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Forvaltning av ordningen</w:t>
      </w:r>
    </w:p>
    <w:p w:rsidR="00112B39" w:rsidRPr="00B96404" w:rsidP="00112B39" w14:paraId="70102044" w14:textId="77777777">
      <w:pPr>
        <w:rPr>
          <w:rFonts w:eastAsia="Times New Roman" w:cs="Open Sans"/>
          <w:color w:val="0563C1" w:themeColor="hyperlink"/>
          <w:szCs w:val="20"/>
          <w:u w:val="single"/>
          <w:lang w:eastAsia="nb-NO"/>
        </w:rPr>
      </w:pPr>
      <w:r w:rsidRPr="00B96404">
        <w:rPr>
          <w:rFonts w:eastAsia="Times New Roman" w:cs="Open Sans"/>
          <w:color w:val="000000"/>
          <w:szCs w:val="20"/>
          <w:lang w:eastAsia="nb-NO"/>
        </w:rPr>
        <w:t>Veiviser for tilskudd til tiltak i beiteområder ligger på hjemmesiden til Landbruksdirektoratet. Se s</w:t>
      </w:r>
      <w:r w:rsidRPr="00B96404">
        <w:rPr>
          <w:rFonts w:eastAsia="Times New Roman" w:cs="Open Sans"/>
          <w:color w:val="37261D"/>
          <w:szCs w:val="20"/>
          <w:lang w:eastAsia="nb-NO"/>
        </w:rPr>
        <w:t xml:space="preserve">amlet oversikt for forvaltningen </w:t>
      </w:r>
      <w:hyperlink r:id="rId7" w:history="1">
        <w:r w:rsidRPr="00B96404">
          <w:rPr>
            <w:rFonts w:eastAsia="Times New Roman" w:cs="Open Sans"/>
            <w:color w:val="0563C1" w:themeColor="hyperlink"/>
            <w:szCs w:val="20"/>
            <w:u w:val="single"/>
            <w:lang w:eastAsia="nb-NO"/>
          </w:rPr>
          <w:t>www.landbru</w:t>
        </w:r>
        <w:r w:rsidRPr="00B96404">
          <w:rPr>
            <w:rFonts w:eastAsia="Times New Roman" w:cs="Open Sans"/>
            <w:color w:val="0563C1" w:themeColor="hyperlink"/>
            <w:szCs w:val="20"/>
            <w:u w:val="single"/>
            <w:lang w:eastAsia="nb-NO"/>
          </w:rPr>
          <w:t>k</w:t>
        </w:r>
        <w:r w:rsidRPr="00B96404">
          <w:rPr>
            <w:rFonts w:eastAsia="Times New Roman" w:cs="Open Sans"/>
            <w:color w:val="0563C1" w:themeColor="hyperlink"/>
            <w:szCs w:val="20"/>
            <w:u w:val="single"/>
            <w:lang w:eastAsia="nb-NO"/>
          </w:rPr>
          <w:t>sdire</w:t>
        </w:r>
        <w:r w:rsidRPr="00B96404">
          <w:rPr>
            <w:rFonts w:eastAsia="Times New Roman" w:cs="Open Sans"/>
            <w:color w:val="0563C1" w:themeColor="hyperlink"/>
            <w:szCs w:val="20"/>
            <w:u w:val="single"/>
            <w:lang w:eastAsia="nb-NO"/>
          </w:rPr>
          <w:t>k</w:t>
        </w:r>
        <w:r w:rsidRPr="00B96404">
          <w:rPr>
            <w:rFonts w:eastAsia="Times New Roman" w:cs="Open Sans"/>
            <w:color w:val="0563C1" w:themeColor="hyperlink"/>
            <w:szCs w:val="20"/>
            <w:u w:val="single"/>
            <w:lang w:eastAsia="nb-NO"/>
          </w:rPr>
          <w:t>t</w:t>
        </w:r>
        <w:r w:rsidRPr="00B96404">
          <w:rPr>
            <w:rFonts w:eastAsia="Times New Roman" w:cs="Open Sans"/>
            <w:color w:val="0563C1" w:themeColor="hyperlink"/>
            <w:szCs w:val="20"/>
            <w:u w:val="single"/>
            <w:lang w:eastAsia="nb-NO"/>
          </w:rPr>
          <w:t>oratet.no</w:t>
        </w:r>
      </w:hyperlink>
      <w:r w:rsidRPr="00B96404">
        <w:rPr>
          <w:rFonts w:eastAsia="Times New Roman" w:cs="Open Sans"/>
          <w:color w:val="0563C1" w:themeColor="hyperlink"/>
          <w:szCs w:val="20"/>
          <w:u w:val="single"/>
          <w:lang w:eastAsia="nb-NO"/>
        </w:rPr>
        <w:t>.</w:t>
      </w:r>
    </w:p>
    <w:p w:rsidR="00112B39" w:rsidP="00112B39" w14:paraId="35B2B75B" w14:textId="77777777">
      <w:pPr>
        <w:rPr>
          <w:rFonts w:cs="Open Sans"/>
          <w:i/>
          <w:iCs/>
          <w:szCs w:val="20"/>
          <w:lang w:eastAsia="nb-NO"/>
        </w:rPr>
      </w:pPr>
    </w:p>
    <w:p w:rsidR="00112B39" w:rsidRPr="00B96404" w:rsidP="00112B39" w14:paraId="2430F235" w14:textId="77777777">
      <w:pPr>
        <w:rPr>
          <w:rFonts w:cs="Open Sans"/>
          <w:i/>
          <w:iCs/>
          <w:szCs w:val="20"/>
          <w:lang w:eastAsia="nb-NO"/>
        </w:rPr>
      </w:pPr>
      <w:r w:rsidRPr="00B96404">
        <w:rPr>
          <w:rFonts w:cs="Open Sans"/>
          <w:i/>
          <w:iCs/>
          <w:szCs w:val="20"/>
          <w:lang w:eastAsia="nb-NO"/>
        </w:rPr>
        <w:t xml:space="preserve">Se </w:t>
      </w:r>
      <w:hyperlink r:id="rId8" w:history="1">
        <w:r w:rsidRPr="00B96404">
          <w:rPr>
            <w:rFonts w:cs="Open Sans"/>
            <w:i/>
            <w:iCs/>
            <w:color w:val="0563C1" w:themeColor="hyperlink"/>
            <w:szCs w:val="20"/>
            <w:u w:val="single"/>
            <w:lang w:eastAsia="nb-NO"/>
          </w:rPr>
          <w:t>Landbruksdirektora</w:t>
        </w:r>
        <w:r w:rsidRPr="00B96404">
          <w:rPr>
            <w:rFonts w:cs="Open Sans"/>
            <w:i/>
            <w:iCs/>
            <w:color w:val="0563C1" w:themeColor="hyperlink"/>
            <w:szCs w:val="20"/>
            <w:u w:val="single"/>
            <w:lang w:eastAsia="nb-NO"/>
          </w:rPr>
          <w:t>t</w:t>
        </w:r>
        <w:r w:rsidRPr="00B96404">
          <w:rPr>
            <w:rFonts w:cs="Open Sans"/>
            <w:i/>
            <w:iCs/>
            <w:color w:val="0563C1" w:themeColor="hyperlink"/>
            <w:szCs w:val="20"/>
            <w:u w:val="single"/>
            <w:lang w:eastAsia="nb-NO"/>
          </w:rPr>
          <w:t>ets</w:t>
        </w:r>
        <w:r w:rsidRPr="00B96404">
          <w:rPr>
            <w:rFonts w:cs="Open Sans"/>
            <w:i/>
            <w:iCs/>
            <w:color w:val="0563C1" w:themeColor="hyperlink"/>
            <w:szCs w:val="20"/>
            <w:u w:val="single"/>
            <w:lang w:eastAsia="nb-NO"/>
          </w:rPr>
          <w:t xml:space="preserve"> veiviser</w:t>
        </w:r>
      </w:hyperlink>
      <w:r w:rsidRPr="00B96404">
        <w:rPr>
          <w:rFonts w:cs="Open Sans"/>
          <w:i/>
          <w:iCs/>
          <w:szCs w:val="20"/>
          <w:lang w:eastAsia="nb-NO"/>
        </w:rPr>
        <w:t xml:space="preserve"> om forvaltningen av ordningen</w:t>
      </w:r>
      <w:r>
        <w:rPr>
          <w:rFonts w:cs="Open Sans"/>
          <w:i/>
          <w:iCs/>
          <w:szCs w:val="20"/>
          <w:lang w:eastAsia="nb-NO"/>
        </w:rPr>
        <w:t xml:space="preserve"> tilskudd til tiltak i beiteområder</w:t>
      </w:r>
      <w:r w:rsidRPr="00B96404">
        <w:rPr>
          <w:rFonts w:cs="Open Sans"/>
          <w:i/>
          <w:iCs/>
          <w:szCs w:val="20"/>
          <w:lang w:eastAsia="nb-NO"/>
        </w:rPr>
        <w:t>.</w:t>
      </w:r>
    </w:p>
    <w:p w:rsidR="00112B39" w:rsidRPr="00B96404" w:rsidP="00112B39" w14:paraId="04C88E0F" w14:textId="77777777">
      <w:pPr>
        <w:rPr>
          <w:rFonts w:cs="Open Sans"/>
          <w:szCs w:val="20"/>
          <w:lang w:eastAsia="nb-NO"/>
        </w:rPr>
      </w:pPr>
    </w:p>
    <w:p w:rsidR="00112B39" w:rsidRPr="00B96404" w:rsidP="00112B39" w14:paraId="1CFE8EC6" w14:textId="77777777">
      <w:pPr>
        <w:rPr>
          <w:rFonts w:eastAsia="Times New Roman" w:cs="Open Sans"/>
          <w:b/>
          <w:bCs/>
          <w:i/>
          <w:iCs/>
          <w:color w:val="000000"/>
          <w:szCs w:val="20"/>
          <w:lang w:eastAsia="nb-NO"/>
        </w:rPr>
      </w:pPr>
    </w:p>
    <w:p w:rsidR="00112B39" w:rsidRPr="00B96404" w:rsidP="00112B39" w14:paraId="6CB7F3AE"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 xml:space="preserve">Om tilskudd til elektronisk overvåkingsutstyr og </w:t>
      </w:r>
      <w:r w:rsidRPr="00B96404">
        <w:rPr>
          <w:rFonts w:eastAsia="Times New Roman" w:cs="Open Sans"/>
          <w:b/>
          <w:bCs/>
          <w:i/>
          <w:iCs/>
          <w:color w:val="000000"/>
          <w:sz w:val="24"/>
          <w:szCs w:val="24"/>
          <w:lang w:eastAsia="nb-NO"/>
        </w:rPr>
        <w:t>nofence</w:t>
      </w:r>
    </w:p>
    <w:p w:rsidR="00112B39" w:rsidRPr="00B96404" w:rsidP="00112B39" w14:paraId="680C4B6D" w14:textId="77777777">
      <w:pPr>
        <w:rPr>
          <w:rFonts w:eastAsia="Times New Roman" w:cs="Open Sans"/>
          <w:b/>
          <w:bCs/>
          <w:i/>
          <w:iCs/>
          <w:color w:val="000000"/>
          <w:szCs w:val="20"/>
          <w:lang w:eastAsia="nb-NO"/>
        </w:rPr>
      </w:pPr>
      <w:r w:rsidRPr="00B96404">
        <w:rPr>
          <w:rFonts w:eastAsia="Times New Roman" w:cs="Open Sans"/>
          <w:b/>
          <w:bCs/>
          <w:i/>
          <w:iCs/>
          <w:color w:val="000000"/>
          <w:szCs w:val="20"/>
          <w:lang w:eastAsia="nb-NO"/>
        </w:rPr>
        <w:t>– noen føringer og anbefalinger fra Statsforvalteren i Trøndelag:</w:t>
      </w:r>
    </w:p>
    <w:p w:rsidR="00112B39" w:rsidRPr="00B96404" w:rsidP="00112B39" w14:paraId="3AB6801F" w14:textId="77777777">
      <w:pPr>
        <w:rPr>
          <w:rFonts w:eastAsia="Times New Roman" w:cs="Open Sans"/>
          <w:b/>
          <w:bCs/>
          <w:i/>
          <w:iCs/>
          <w:color w:val="000000"/>
          <w:szCs w:val="20"/>
          <w:lang w:eastAsia="nb-NO"/>
        </w:rPr>
      </w:pPr>
    </w:p>
    <w:p w:rsidR="00112B39" w:rsidRPr="00B96404" w:rsidP="00112B39" w14:paraId="065DF1D8"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Innmeldingene fra kommunene per 10. november 2022 viser et stort behov for investeringer i teknologi i beiteområdene. Vi registrerer særlig økt etterspørsel etter midler til investeringer i </w:t>
      </w:r>
      <w:r w:rsidRPr="00B96404">
        <w:rPr>
          <w:rFonts w:eastAsia="Times New Roman" w:cs="Open Sans"/>
          <w:i/>
          <w:iCs/>
          <w:color w:val="000000"/>
          <w:szCs w:val="20"/>
          <w:lang w:eastAsia="nb-NO"/>
        </w:rPr>
        <w:t>nofence</w:t>
      </w:r>
      <w:r w:rsidRPr="00B96404">
        <w:rPr>
          <w:rFonts w:eastAsia="Times New Roman" w:cs="Open Sans"/>
          <w:i/>
          <w:iCs/>
          <w:color w:val="000000"/>
          <w:szCs w:val="20"/>
          <w:lang w:eastAsia="nb-NO"/>
        </w:rPr>
        <w:t xml:space="preserve"> til storfe</w:t>
      </w:r>
      <w:r w:rsidRPr="00B96404">
        <w:rPr>
          <w:rFonts w:eastAsia="Times New Roman" w:cs="Open Sans"/>
          <w:color w:val="000000"/>
          <w:szCs w:val="20"/>
          <w:lang w:eastAsia="nb-NO"/>
        </w:rPr>
        <w:t>. I mange beitelag, samt i radiobjellelagene i fylket er det også behov for nyinvesteringer i ordinære radiobjeller. Dette har sammenheng med at det stadig kommer ny og forbedret teknologi på markedet. Beitelag som tidligere har investert i Smartb</w:t>
      </w:r>
      <w:r>
        <w:rPr>
          <w:rFonts w:eastAsia="Times New Roman" w:cs="Open Sans"/>
          <w:color w:val="000000"/>
          <w:szCs w:val="20"/>
          <w:lang w:eastAsia="nb-NO"/>
        </w:rPr>
        <w:t>jeller</w:t>
      </w:r>
      <w:r w:rsidRPr="00B96404">
        <w:rPr>
          <w:rFonts w:eastAsia="Times New Roman" w:cs="Open Sans"/>
          <w:color w:val="000000"/>
          <w:szCs w:val="20"/>
          <w:lang w:eastAsia="nb-NO"/>
        </w:rPr>
        <w:t xml:space="preserve"> </w:t>
      </w:r>
      <w:r>
        <w:rPr>
          <w:rFonts w:eastAsia="Times New Roman" w:cs="Open Sans"/>
          <w:color w:val="000000"/>
          <w:szCs w:val="20"/>
          <w:lang w:eastAsia="nb-NO"/>
        </w:rPr>
        <w:t xml:space="preserve">må nå </w:t>
      </w:r>
      <w:r w:rsidRPr="00B96404">
        <w:rPr>
          <w:rFonts w:eastAsia="Times New Roman" w:cs="Open Sans"/>
          <w:color w:val="000000"/>
          <w:szCs w:val="20"/>
          <w:lang w:eastAsia="nb-NO"/>
        </w:rPr>
        <w:t>investere i ny teknologi i og med at leverandøren har gått konkurs.</w:t>
      </w:r>
    </w:p>
    <w:p w:rsidR="00112B39" w:rsidRPr="00B96404" w:rsidP="00112B39" w14:paraId="5D139102"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  </w:t>
      </w:r>
    </w:p>
    <w:p w:rsidR="00112B39" w:rsidP="00112B39" w14:paraId="3C20DAD0" w14:textId="22EC4BA1">
      <w:pPr>
        <w:rPr>
          <w:rFonts w:cs="Open Sans"/>
          <w:szCs w:val="20"/>
        </w:rPr>
      </w:pPr>
      <w:r w:rsidRPr="00B96404">
        <w:rPr>
          <w:rFonts w:eastAsia="Times New Roman" w:cs="Open Sans"/>
          <w:color w:val="000000"/>
          <w:szCs w:val="20"/>
          <w:lang w:eastAsia="nb-NO"/>
        </w:rPr>
        <w:t>Samlet melder kommunene om behov for 6,3 mill. til teknologi, dvs. at over halvparten av innmeldt behov gjelder slike investeringer. Innmeldt behov for midler til teknologi ligger på mer enn 1 mill</w:t>
      </w:r>
      <w:r>
        <w:rPr>
          <w:rFonts w:eastAsia="Times New Roman" w:cs="Open Sans"/>
          <w:color w:val="000000"/>
          <w:szCs w:val="20"/>
          <w:lang w:eastAsia="nb-NO"/>
        </w:rPr>
        <w:t>.</w:t>
      </w:r>
      <w:r w:rsidRPr="00B96404">
        <w:rPr>
          <w:rFonts w:eastAsia="Times New Roman" w:cs="Open Sans"/>
          <w:color w:val="000000"/>
          <w:szCs w:val="20"/>
          <w:lang w:eastAsia="nb-NO"/>
        </w:rPr>
        <w:t xml:space="preserve"> over tilgjengelig ramme for 2023. I og med at rammene er sterkt begrenset i forhold til etterspørsel så er kommunene nødt til å prioritere strengt.</w:t>
      </w:r>
      <w:r>
        <w:rPr>
          <w:rFonts w:eastAsia="Times New Roman" w:cs="Open Sans"/>
          <w:color w:val="000000"/>
          <w:szCs w:val="20"/>
          <w:lang w:eastAsia="nb-NO"/>
        </w:rPr>
        <w:t xml:space="preserve"> Kommunens </w:t>
      </w:r>
      <w:r w:rsidRPr="00B96404">
        <w:rPr>
          <w:rFonts w:cs="Open Sans"/>
          <w:szCs w:val="20"/>
        </w:rPr>
        <w:t xml:space="preserve">prioriteringer bør presiseres i kommunens tiltaksstrategi og synliggjøres ved utlysning av midlene.   </w:t>
      </w:r>
    </w:p>
    <w:p w:rsidR="00112B39" w:rsidRPr="00B96404" w:rsidP="00112B39" w14:paraId="52AED3A4" w14:textId="537724AB">
      <w:pPr>
        <w:rPr>
          <w:rFonts w:eastAsia="Times New Roman" w:cs="Open Sans"/>
          <w:color w:val="000000"/>
          <w:szCs w:val="20"/>
          <w:lang w:eastAsia="nb-NO"/>
        </w:rPr>
      </w:pPr>
    </w:p>
    <w:p w:rsidR="00112B39" w:rsidRPr="00B96404" w:rsidP="00112B39" w14:paraId="17FA1339" w14:textId="77777777">
      <w:pPr>
        <w:rPr>
          <w:rFonts w:cs="Open Sans"/>
          <w:b/>
          <w:bCs/>
          <w:szCs w:val="20"/>
        </w:rPr>
      </w:pPr>
    </w:p>
    <w:p w:rsidR="00112B39" w:rsidRPr="00B96404" w:rsidP="00112B39" w14:paraId="6FC0209C" w14:textId="77777777">
      <w:pPr>
        <w:rPr>
          <w:rFonts w:cs="Open Sans"/>
          <w:szCs w:val="20"/>
        </w:rPr>
      </w:pPr>
      <w:r w:rsidRPr="00B96404">
        <w:rPr>
          <w:rFonts w:cs="Open Sans"/>
          <w:b/>
          <w:bCs/>
          <w:szCs w:val="20"/>
        </w:rPr>
        <w:t xml:space="preserve">Mer om satsing på radiobjellelagene: </w:t>
      </w:r>
      <w:r w:rsidRPr="00B96404">
        <w:rPr>
          <w:rFonts w:cs="Open Sans"/>
          <w:szCs w:val="20"/>
        </w:rPr>
        <w:t>I samråd med Sør- og Nord-Trøndelag sau og geit vil Statsforvalteren i Trøndelag bidra til styrking og oppbygging av to radiobjellelag i Trøndelag, der beitebrukere fra hele fylket kan tegne medlemskap og få tilgang til radiobjeller i sine beiteområder. Dette er bakgrunnen for at Statsforvalteren har satt av øremerkede midler til Steinkjer og Oppdal kommune til investeringer i elektronisk overvåkingsutstyr</w:t>
      </w:r>
      <w:r>
        <w:rPr>
          <w:rFonts w:cs="Open Sans"/>
          <w:szCs w:val="20"/>
        </w:rPr>
        <w:t>.</w:t>
      </w:r>
      <w:r w:rsidRPr="00B96404">
        <w:rPr>
          <w:rFonts w:cs="Open Sans"/>
          <w:szCs w:val="20"/>
        </w:rPr>
        <w:t xml:space="preserve"> Øremerka midler til Steinkjer kommune (kr 210 000,-) skal gå til investeringer i Nord-Trøndelag radiobjellelag. Øremerka midler til Oppdal kommune (kr 200 000,-) skal gå til investeringer i Sør-Trøndelag radiobjellelag. </w:t>
      </w:r>
    </w:p>
    <w:p w:rsidR="00112B39" w:rsidP="00112B39" w14:paraId="38AFF5A3" w14:textId="77777777">
      <w:pPr>
        <w:rPr>
          <w:rFonts w:cs="Open Sans"/>
          <w:szCs w:val="20"/>
        </w:rPr>
      </w:pPr>
    </w:p>
    <w:p w:rsidR="00112B39" w:rsidRPr="00B96404" w:rsidP="00112B39" w14:paraId="516F3685" w14:textId="15B37E00">
      <w:pPr>
        <w:rPr>
          <w:rFonts w:cs="Open Sans"/>
          <w:szCs w:val="20"/>
        </w:rPr>
      </w:pPr>
      <w:r w:rsidRPr="00B96404">
        <w:rPr>
          <w:rFonts w:cs="Open Sans"/>
          <w:b/>
          <w:bCs/>
          <w:szCs w:val="20"/>
        </w:rPr>
        <w:t>Om tilskudd til radiobjeller i beitelagene:</w:t>
      </w:r>
      <w:r w:rsidRPr="00B96404">
        <w:rPr>
          <w:rFonts w:cs="Open Sans"/>
          <w:szCs w:val="20"/>
        </w:rPr>
        <w:t xml:space="preserve"> Statsforvalteren presiserer samtidig at kommunene fortsatt </w:t>
      </w:r>
      <w:r w:rsidRPr="00B96404">
        <w:rPr>
          <w:rFonts w:cs="Open Sans"/>
          <w:i/>
          <w:iCs/>
          <w:szCs w:val="20"/>
        </w:rPr>
        <w:t>kan</w:t>
      </w:r>
      <w:r w:rsidRPr="00B96404">
        <w:rPr>
          <w:rFonts w:cs="Open Sans"/>
          <w:szCs w:val="20"/>
        </w:rPr>
        <w:t xml:space="preserve"> bevilge midler til beitelagene slik at de kan investere i </w:t>
      </w:r>
      <w:r>
        <w:rPr>
          <w:rFonts w:cs="Open Sans"/>
          <w:szCs w:val="20"/>
        </w:rPr>
        <w:t xml:space="preserve">egne </w:t>
      </w:r>
      <w:r w:rsidRPr="00B96404">
        <w:rPr>
          <w:rFonts w:cs="Open Sans"/>
          <w:szCs w:val="20"/>
        </w:rPr>
        <w:t xml:space="preserve">radiobjeller, i de tilfeller der det er mest hensiktsmessig for beitelaget å eie og drifte egne radiobjeller. </w:t>
      </w:r>
      <w:r>
        <w:rPr>
          <w:rFonts w:cs="Open Sans"/>
          <w:szCs w:val="20"/>
        </w:rPr>
        <w:t xml:space="preserve">Det er viktig at </w:t>
      </w:r>
      <w:r w:rsidRPr="00B96404">
        <w:rPr>
          <w:rFonts w:cs="Open Sans"/>
          <w:szCs w:val="20"/>
        </w:rPr>
        <w:t xml:space="preserve">beitelaget har ressurser og kompetanse på drift og vedlikehold av radiobjellene. </w:t>
      </w:r>
      <w:r>
        <w:rPr>
          <w:rFonts w:cs="Open Sans"/>
          <w:szCs w:val="20"/>
        </w:rPr>
        <w:t>V</w:t>
      </w:r>
      <w:r w:rsidRPr="00B96404">
        <w:rPr>
          <w:rFonts w:cs="Open Sans"/>
          <w:szCs w:val="20"/>
        </w:rPr>
        <w:t xml:space="preserve">algt teknologi </w:t>
      </w:r>
      <w:r>
        <w:rPr>
          <w:rFonts w:cs="Open Sans"/>
          <w:szCs w:val="20"/>
        </w:rPr>
        <w:t xml:space="preserve">må også være </w:t>
      </w:r>
      <w:r w:rsidRPr="00B96404">
        <w:rPr>
          <w:rFonts w:cs="Open Sans"/>
          <w:szCs w:val="20"/>
        </w:rPr>
        <w:t xml:space="preserve">tilpasset geografi og sporingsforhold i området der radiobjellene skal brukes. </w:t>
      </w:r>
    </w:p>
    <w:p w:rsidR="00112B39" w:rsidRPr="00B96404" w:rsidP="00112B39" w14:paraId="328B7105" w14:textId="77777777">
      <w:pPr>
        <w:rPr>
          <w:rFonts w:cs="Open Sans"/>
          <w:b/>
          <w:bCs/>
          <w:szCs w:val="20"/>
        </w:rPr>
      </w:pPr>
    </w:p>
    <w:p w:rsidR="00112B39" w:rsidP="00112B39" w14:paraId="2A7BAB74" w14:textId="77777777">
      <w:pPr>
        <w:rPr>
          <w:rFonts w:cs="Open Sans"/>
          <w:szCs w:val="20"/>
        </w:rPr>
      </w:pPr>
      <w:r w:rsidRPr="00B96404">
        <w:rPr>
          <w:rFonts w:cs="Open Sans"/>
          <w:b/>
          <w:bCs/>
          <w:szCs w:val="20"/>
        </w:rPr>
        <w:t>Når kan kommunen innvilge tilskudd til radiobjeller hos enkeltbrukere:</w:t>
      </w:r>
      <w:r w:rsidRPr="00B96404">
        <w:rPr>
          <w:rFonts w:cs="Open Sans"/>
          <w:szCs w:val="20"/>
        </w:rPr>
        <w:t xml:space="preserve"> Statsforvalteren har tidligere presisert at tilskudd til investeringer i radiobjeller hos enkeltbrukere skal prioriteres ned. </w:t>
      </w:r>
      <w:r>
        <w:rPr>
          <w:rFonts w:cs="Open Sans"/>
          <w:szCs w:val="20"/>
        </w:rPr>
        <w:t xml:space="preserve">Bakgrunnen for dette er formålet med ordningen om å fremme fellestiltak i beiteområdene. </w:t>
      </w:r>
    </w:p>
    <w:p w:rsidR="00112B39" w:rsidP="00112B39" w14:paraId="656D446D" w14:textId="77777777">
      <w:pPr>
        <w:rPr>
          <w:rFonts w:cs="Open Sans"/>
          <w:szCs w:val="20"/>
        </w:rPr>
      </w:pPr>
    </w:p>
    <w:p w:rsidR="00112B39" w:rsidRPr="00B96404" w:rsidP="00112B39" w14:paraId="2BE6E7C9" w14:textId="77777777">
      <w:pPr>
        <w:rPr>
          <w:rFonts w:cs="Open Sans"/>
          <w:szCs w:val="20"/>
        </w:rPr>
      </w:pPr>
      <w:r w:rsidRPr="00B96404">
        <w:rPr>
          <w:rFonts w:cs="Open Sans"/>
          <w:szCs w:val="20"/>
        </w:rPr>
        <w:t xml:space="preserve">I tilfeller der enkeltbrukere er medlem i et av de to radiobjellelagene </w:t>
      </w:r>
      <w:r>
        <w:rPr>
          <w:rFonts w:cs="Open Sans"/>
          <w:szCs w:val="20"/>
        </w:rPr>
        <w:t xml:space="preserve">kan </w:t>
      </w:r>
      <w:r w:rsidRPr="00B96404">
        <w:rPr>
          <w:rFonts w:cs="Open Sans"/>
          <w:szCs w:val="20"/>
        </w:rPr>
        <w:t xml:space="preserve">imidlertid kommunen innvilge tilskudd til </w:t>
      </w:r>
      <w:r>
        <w:rPr>
          <w:rFonts w:cs="Open Sans"/>
          <w:szCs w:val="20"/>
        </w:rPr>
        <w:t xml:space="preserve">enkeltbruker som ønsker å </w:t>
      </w:r>
      <w:r w:rsidRPr="00B96404">
        <w:rPr>
          <w:rFonts w:cs="Open Sans"/>
          <w:szCs w:val="20"/>
        </w:rPr>
        <w:t>invester</w:t>
      </w:r>
      <w:r>
        <w:rPr>
          <w:rFonts w:cs="Open Sans"/>
          <w:szCs w:val="20"/>
        </w:rPr>
        <w:t>e</w:t>
      </w:r>
      <w:r w:rsidRPr="00B96404">
        <w:rPr>
          <w:rFonts w:cs="Open Sans"/>
          <w:szCs w:val="20"/>
        </w:rPr>
        <w:t xml:space="preserve"> </w:t>
      </w:r>
      <w:r>
        <w:rPr>
          <w:rFonts w:cs="Open Sans"/>
          <w:szCs w:val="20"/>
        </w:rPr>
        <w:t xml:space="preserve">i radiobjeller </w:t>
      </w:r>
      <w:r w:rsidRPr="00B96404">
        <w:rPr>
          <w:rFonts w:cs="Open Sans"/>
          <w:szCs w:val="20"/>
        </w:rPr>
        <w:t xml:space="preserve">gjennom ordningen for tilskudd til tiltak i beiteområder. Dette forutsetter at radiobjellelaget </w:t>
      </w:r>
      <w:r>
        <w:rPr>
          <w:rFonts w:cs="Open Sans"/>
          <w:szCs w:val="20"/>
        </w:rPr>
        <w:t xml:space="preserve">skal </w:t>
      </w:r>
      <w:r w:rsidRPr="00B96404">
        <w:rPr>
          <w:rFonts w:cs="Open Sans"/>
          <w:szCs w:val="20"/>
        </w:rPr>
        <w:t xml:space="preserve">drifte og vedlikeholde utstyret, samt overta utstyret hvis brukeren slutter/ikke lenger har behov for radiobjellene. </w:t>
      </w:r>
    </w:p>
    <w:p w:rsidR="00112B39" w:rsidP="00112B39" w14:paraId="07F9588D" w14:textId="77777777">
      <w:pPr>
        <w:rPr>
          <w:rFonts w:cs="Open Sans"/>
          <w:szCs w:val="20"/>
        </w:rPr>
      </w:pPr>
    </w:p>
    <w:p w:rsidR="00112B39" w:rsidP="00112B39" w14:paraId="03C6D88B" w14:textId="49BDECEE">
      <w:pPr>
        <w:pStyle w:val="paragraph"/>
        <w:spacing w:before="0" w:beforeAutospacing="0" w:after="0" w:afterAutospacing="0"/>
        <w:textAlignment w:val="baseline"/>
        <w:rPr>
          <w:rStyle w:val="normaltextrun"/>
          <w:rFonts w:cs="Open Sans"/>
          <w:color w:val="000000"/>
          <w:szCs w:val="20"/>
        </w:rPr>
      </w:pPr>
      <w:r w:rsidRPr="00CE307F">
        <w:rPr>
          <w:rStyle w:val="spellingerror"/>
          <w:rFonts w:ascii="Open Sans" w:hAnsi="Open Sans" w:cs="Open Sans"/>
          <w:b/>
          <w:bCs/>
          <w:sz w:val="20"/>
          <w:szCs w:val="20"/>
        </w:rPr>
        <w:t>Mer om Smartb</w:t>
      </w:r>
      <w:r>
        <w:rPr>
          <w:rStyle w:val="spellingerror"/>
          <w:rFonts w:ascii="Open Sans" w:hAnsi="Open Sans" w:cs="Open Sans"/>
          <w:b/>
          <w:bCs/>
          <w:sz w:val="20"/>
          <w:szCs w:val="20"/>
        </w:rPr>
        <w:t>jeller</w:t>
      </w:r>
      <w:r w:rsidRPr="00CE307F">
        <w:rPr>
          <w:rStyle w:val="normaltextrun"/>
          <w:rFonts w:ascii="Open Sans" w:hAnsi="Open Sans" w:cs="Open Sans"/>
          <w:b/>
          <w:bCs/>
          <w:sz w:val="20"/>
          <w:szCs w:val="20"/>
        </w:rPr>
        <w:t xml:space="preserve"> - </w:t>
      </w:r>
      <w:r>
        <w:rPr>
          <w:rStyle w:val="normaltextrun"/>
          <w:rFonts w:cs="Open Sans"/>
          <w:b/>
          <w:bCs/>
          <w:szCs w:val="20"/>
        </w:rPr>
        <w:t>o</w:t>
      </w:r>
      <w:r w:rsidRPr="00CE307F">
        <w:rPr>
          <w:rStyle w:val="normaltextrun"/>
          <w:rFonts w:ascii="Open Sans" w:hAnsi="Open Sans" w:cs="Open Sans"/>
          <w:b/>
          <w:bCs/>
          <w:sz w:val="20"/>
          <w:szCs w:val="20"/>
        </w:rPr>
        <w:t xml:space="preserve">ppdatert informasjon fra </w:t>
      </w:r>
      <w:r w:rsidRPr="00CE307F">
        <w:rPr>
          <w:rStyle w:val="spellingerror"/>
          <w:rFonts w:ascii="Open Sans" w:hAnsi="Open Sans" w:cs="Open Sans"/>
          <w:b/>
          <w:bCs/>
          <w:sz w:val="20"/>
          <w:szCs w:val="20"/>
        </w:rPr>
        <w:t>L.Dir</w:t>
      </w:r>
      <w:r>
        <w:rPr>
          <w:rStyle w:val="spellingerror"/>
          <w:rFonts w:ascii="Open Sans" w:hAnsi="Open Sans" w:cs="Open Sans"/>
          <w:b/>
          <w:bCs/>
          <w:sz w:val="20"/>
          <w:szCs w:val="20"/>
        </w:rPr>
        <w:t xml:space="preserve">: </w:t>
      </w:r>
      <w:r w:rsidRPr="00CE307F">
        <w:rPr>
          <w:rStyle w:val="normaltextrun"/>
          <w:rFonts w:ascii="Open Sans" w:hAnsi="Open Sans" w:cs="Open Sans"/>
          <w:color w:val="000000"/>
          <w:sz w:val="20"/>
          <w:szCs w:val="20"/>
        </w:rPr>
        <w:t xml:space="preserve">Landbruksdirektoratet har </w:t>
      </w:r>
      <w:r>
        <w:rPr>
          <w:rStyle w:val="normaltextrun"/>
          <w:rFonts w:cs="Open Sans"/>
          <w:color w:val="000000"/>
          <w:szCs w:val="20"/>
        </w:rPr>
        <w:t xml:space="preserve">denne uken </w:t>
      </w:r>
      <w:r w:rsidRPr="00CE307F">
        <w:rPr>
          <w:rStyle w:val="normaltextrun"/>
          <w:rFonts w:ascii="Open Sans" w:hAnsi="Open Sans" w:cs="Open Sans"/>
          <w:color w:val="000000"/>
          <w:sz w:val="20"/>
          <w:szCs w:val="20"/>
        </w:rPr>
        <w:t xml:space="preserve">sendt oss informasjon i forbindelse med konkursbehandlingen av </w:t>
      </w:r>
      <w:r w:rsidRPr="00CE307F">
        <w:rPr>
          <w:rStyle w:val="spellingerror"/>
          <w:rFonts w:ascii="Open Sans" w:hAnsi="Open Sans" w:cs="Open Sans"/>
          <w:color w:val="000000"/>
          <w:sz w:val="20"/>
          <w:szCs w:val="20"/>
        </w:rPr>
        <w:t>Smartbells</w:t>
      </w:r>
      <w:r w:rsidRPr="00CE307F">
        <w:rPr>
          <w:rStyle w:val="normaltextrun"/>
          <w:rFonts w:ascii="Open Sans" w:hAnsi="Open Sans" w:cs="Open Sans"/>
          <w:color w:val="000000"/>
          <w:sz w:val="20"/>
          <w:szCs w:val="20"/>
        </w:rPr>
        <w:t xml:space="preserve"> AS. </w:t>
      </w:r>
    </w:p>
    <w:p w:rsidR="00112B39" w:rsidP="00112B39" w14:paraId="7E6DEC43" w14:textId="77777777">
      <w:pPr>
        <w:pStyle w:val="paragraph"/>
        <w:spacing w:before="0" w:beforeAutospacing="0" w:after="0" w:afterAutospacing="0"/>
        <w:textAlignment w:val="baseline"/>
        <w:rPr>
          <w:rStyle w:val="normaltextrun"/>
          <w:rFonts w:cs="Open Sans"/>
          <w:color w:val="000000"/>
          <w:szCs w:val="20"/>
        </w:rPr>
      </w:pPr>
    </w:p>
    <w:p w:rsidR="00112B39" w:rsidP="00112B39" w14:paraId="5A0DC724" w14:textId="77777777">
      <w:pPr>
        <w:pStyle w:val="paragraph"/>
        <w:spacing w:before="0" w:beforeAutospacing="0" w:after="0" w:afterAutospacing="0"/>
        <w:textAlignment w:val="baseline"/>
        <w:rPr>
          <w:rStyle w:val="eop"/>
          <w:rFonts w:ascii="Open Sans" w:hAnsi="Open Sans" w:cs="Open Sans"/>
          <w:color w:val="000000"/>
          <w:sz w:val="20"/>
          <w:szCs w:val="20"/>
        </w:rPr>
      </w:pPr>
      <w:r w:rsidRPr="00CE307F">
        <w:rPr>
          <w:rStyle w:val="normaltextrun"/>
          <w:rFonts w:ascii="Open Sans" w:hAnsi="Open Sans" w:cs="Open Sans"/>
          <w:color w:val="000000"/>
          <w:sz w:val="20"/>
          <w:szCs w:val="20"/>
        </w:rPr>
        <w:t xml:space="preserve">Her går der fra at IP-rettigheter mv. og kundelister er nylig solgt til to selskaper. Selskapet Norbit har kjøpt IP-rettighetene, mens </w:t>
      </w:r>
      <w:r w:rsidRPr="00CE307F">
        <w:rPr>
          <w:rStyle w:val="spellingerror"/>
          <w:rFonts w:ascii="Open Sans" w:hAnsi="Open Sans" w:cs="Open Sans"/>
          <w:color w:val="000000"/>
          <w:sz w:val="20"/>
          <w:szCs w:val="20"/>
        </w:rPr>
        <w:t>RealTimeID</w:t>
      </w:r>
      <w:r w:rsidRPr="00CE307F">
        <w:rPr>
          <w:rStyle w:val="normaltextrun"/>
          <w:rFonts w:ascii="Open Sans" w:hAnsi="Open Sans" w:cs="Open Sans"/>
          <w:color w:val="000000"/>
          <w:sz w:val="20"/>
          <w:szCs w:val="20"/>
        </w:rPr>
        <w:t xml:space="preserve"> har kjøpt kundelister.</w:t>
      </w:r>
      <w:r w:rsidRPr="00CE307F">
        <w:rPr>
          <w:rStyle w:val="eop"/>
          <w:rFonts w:ascii="Open Sans" w:hAnsi="Open Sans" w:cs="Open Sans"/>
          <w:color w:val="000000"/>
          <w:sz w:val="20"/>
          <w:szCs w:val="20"/>
        </w:rPr>
        <w:t> </w:t>
      </w:r>
      <w:r w:rsidRPr="00CE307F">
        <w:rPr>
          <w:rStyle w:val="normaltextrun"/>
          <w:rFonts w:ascii="Open Sans" w:hAnsi="Open Sans" w:cs="Open Sans"/>
          <w:color w:val="000000"/>
          <w:sz w:val="20"/>
          <w:szCs w:val="20"/>
        </w:rPr>
        <w:t>Norbit</w:t>
      </w:r>
      <w:r>
        <w:rPr>
          <w:rStyle w:val="normaltextrun"/>
          <w:rFonts w:cs="Open Sans"/>
          <w:color w:val="000000"/>
          <w:szCs w:val="20"/>
        </w:rPr>
        <w:t xml:space="preserve"> har </w:t>
      </w:r>
      <w:r w:rsidRPr="00CE307F">
        <w:rPr>
          <w:rStyle w:val="normaltextrun"/>
          <w:rFonts w:ascii="Open Sans" w:hAnsi="Open Sans" w:cs="Open Sans"/>
          <w:color w:val="000000"/>
          <w:sz w:val="20"/>
          <w:szCs w:val="20"/>
        </w:rPr>
        <w:t>opplys</w:t>
      </w:r>
      <w:r>
        <w:rPr>
          <w:rStyle w:val="normaltextrun"/>
          <w:rFonts w:cs="Open Sans"/>
          <w:color w:val="000000"/>
          <w:szCs w:val="20"/>
        </w:rPr>
        <w:t>t</w:t>
      </w:r>
      <w:r w:rsidRPr="00CE307F">
        <w:rPr>
          <w:rStyle w:val="normaltextrun"/>
          <w:rFonts w:ascii="Open Sans" w:hAnsi="Open Sans" w:cs="Open Sans"/>
          <w:color w:val="000000"/>
          <w:sz w:val="20"/>
          <w:szCs w:val="20"/>
        </w:rPr>
        <w:t xml:space="preserve"> at de ikke ønsker å videreføre teknologien, men dersom det finnes aktører som har kompetanse og kapasitet til å jobbe godt mot norske bønder er de åpne for samarbeid mot dem.</w:t>
      </w:r>
      <w:r w:rsidRPr="00CE307F">
        <w:rPr>
          <w:rStyle w:val="eop"/>
          <w:rFonts w:ascii="Open Sans" w:hAnsi="Open Sans" w:cs="Open Sans"/>
          <w:color w:val="000000"/>
          <w:sz w:val="20"/>
          <w:szCs w:val="20"/>
        </w:rPr>
        <w:t> </w:t>
      </w:r>
    </w:p>
    <w:p w:rsidR="00112B39" w:rsidP="00112B39" w14:paraId="5D9D9335" w14:textId="77777777">
      <w:pPr>
        <w:pStyle w:val="paragraph"/>
        <w:spacing w:before="0" w:beforeAutospacing="0" w:after="0" w:afterAutospacing="0"/>
        <w:textAlignment w:val="baseline"/>
        <w:rPr>
          <w:rStyle w:val="eop"/>
          <w:rFonts w:ascii="Open Sans" w:hAnsi="Open Sans" w:cs="Open Sans"/>
          <w:color w:val="000000"/>
          <w:sz w:val="20"/>
          <w:szCs w:val="20"/>
        </w:rPr>
      </w:pPr>
    </w:p>
    <w:p w:rsidR="00112B39" w:rsidP="00112B39" w14:paraId="01253E03" w14:textId="77777777">
      <w:pPr>
        <w:pStyle w:val="paragraph"/>
        <w:spacing w:before="0" w:beforeAutospacing="0" w:after="0" w:afterAutospacing="0"/>
        <w:textAlignment w:val="baseline"/>
        <w:rPr>
          <w:rStyle w:val="normaltextrun"/>
          <w:rFonts w:cs="Open Sans"/>
          <w:color w:val="000000"/>
          <w:szCs w:val="20"/>
        </w:rPr>
      </w:pPr>
      <w:r w:rsidRPr="00CE307F">
        <w:rPr>
          <w:rStyle w:val="normaltextrun"/>
          <w:rFonts w:ascii="Open Sans" w:hAnsi="Open Sans" w:cs="Open Sans"/>
          <w:color w:val="000000"/>
          <w:sz w:val="20"/>
          <w:szCs w:val="20"/>
        </w:rPr>
        <w:t xml:space="preserve">Det er ingen som kan garantere for om bjellene vil fungere iht. brukernes avtaler med Smartbjella. Denne usikkerheten innebærer stor risiko for at bjellene ikke vil fungere denne sesongen. </w:t>
      </w:r>
    </w:p>
    <w:p w:rsidR="00112B39" w:rsidP="00112B39" w14:paraId="0CC89FD5" w14:textId="77777777">
      <w:pPr>
        <w:pStyle w:val="paragraph"/>
        <w:spacing w:before="0" w:beforeAutospacing="0" w:after="0" w:afterAutospacing="0"/>
        <w:textAlignment w:val="baseline"/>
        <w:rPr>
          <w:rStyle w:val="normaltextrun"/>
          <w:rFonts w:cs="Open Sans"/>
          <w:color w:val="000000"/>
          <w:szCs w:val="20"/>
        </w:rPr>
      </w:pPr>
    </w:p>
    <w:p w:rsidR="00112B39" w:rsidRPr="00CE307F" w:rsidP="00112B39" w14:paraId="07A85E57" w14:textId="77777777">
      <w:pPr>
        <w:pStyle w:val="paragraph"/>
        <w:spacing w:before="0" w:beforeAutospacing="0" w:after="0" w:afterAutospacing="0"/>
        <w:textAlignment w:val="baseline"/>
        <w:rPr>
          <w:rFonts w:ascii="Open Sans" w:hAnsi="Open Sans" w:cs="Open Sans"/>
          <w:sz w:val="20"/>
          <w:szCs w:val="20"/>
        </w:rPr>
      </w:pPr>
      <w:r w:rsidRPr="00CE307F">
        <w:rPr>
          <w:rStyle w:val="normaltextrun"/>
          <w:rFonts w:ascii="Open Sans" w:hAnsi="Open Sans" w:cs="Open Sans"/>
          <w:color w:val="000000"/>
          <w:sz w:val="20"/>
          <w:szCs w:val="20"/>
        </w:rPr>
        <w:t>Landbruksdirektoratet har derfor ikke innvendinger mot at det gis tilskudd til innkjøp av tilsvarende bjeller fra en annen aktør for å erstatte bjeller fra Smartbjella. Kommunene står altså fritt til å prioritere midler fra Tilskudd til tiltak i beiteområder til dette eller andre søknader.</w:t>
      </w:r>
      <w:r w:rsidRPr="00CE307F">
        <w:rPr>
          <w:rStyle w:val="eop"/>
          <w:rFonts w:ascii="Open Sans" w:hAnsi="Open Sans" w:cs="Open Sans"/>
          <w:color w:val="000000"/>
          <w:sz w:val="20"/>
          <w:szCs w:val="20"/>
        </w:rPr>
        <w:t> </w:t>
      </w:r>
    </w:p>
    <w:p w:rsidR="00112B39" w:rsidRPr="00B96404" w:rsidP="00112B39" w14:paraId="3578DC1C" w14:textId="77777777">
      <w:pPr>
        <w:rPr>
          <w:rFonts w:cs="Open Sans"/>
          <w:b/>
          <w:bCs/>
          <w:szCs w:val="20"/>
        </w:rPr>
      </w:pPr>
    </w:p>
    <w:p w:rsidR="00112B39" w:rsidRPr="00B96404" w:rsidP="00112B39" w14:paraId="78A10186" w14:textId="77777777">
      <w:pPr>
        <w:rPr>
          <w:rFonts w:eastAsia="Times New Roman" w:cs="Open Sans"/>
          <w:color w:val="000000"/>
          <w:szCs w:val="20"/>
          <w:lang w:eastAsia="nb-NO"/>
        </w:rPr>
      </w:pPr>
      <w:r w:rsidRPr="00B96404">
        <w:rPr>
          <w:rFonts w:cs="Open Sans"/>
          <w:b/>
          <w:bCs/>
          <w:szCs w:val="20"/>
        </w:rPr>
        <w:t xml:space="preserve">Mer om </w:t>
      </w:r>
      <w:r w:rsidRPr="00B96404">
        <w:rPr>
          <w:rFonts w:cs="Open Sans"/>
          <w:b/>
          <w:bCs/>
          <w:szCs w:val="20"/>
        </w:rPr>
        <w:t>Nofence</w:t>
      </w:r>
      <w:r w:rsidRPr="00B96404">
        <w:rPr>
          <w:rFonts w:cs="Open Sans"/>
          <w:b/>
          <w:bCs/>
          <w:szCs w:val="20"/>
        </w:rPr>
        <w:t xml:space="preserve"> - prioriteringer: </w:t>
      </w:r>
      <w:r w:rsidRPr="00B96404">
        <w:rPr>
          <w:rFonts w:eastAsia="Times New Roman" w:cs="Open Sans"/>
          <w:color w:val="000000"/>
          <w:szCs w:val="20"/>
          <w:lang w:eastAsia="nb-NO"/>
        </w:rPr>
        <w:t xml:space="preserve">Tall fra organisert beitebruk (OBB) viser at vi har en stadig økende andel storfe på utmarksbeite. I 2022 ble det sluppet 9873 storfe på utmarksbeite mot 9696 i 2021, 8321 i 2020, 8059 i 2019 og 7302 i 2018. Dette er positivt, flere storfe på utmarksbeite, og mere sambeite sau/storfe, er viktig for å ivareta beiteressursene og kan ha positiv effekt på biologisk mangfold. </w:t>
      </w:r>
    </w:p>
    <w:p w:rsidR="00112B39" w:rsidRPr="00B96404" w:rsidP="00112B39" w14:paraId="53C46C56" w14:textId="77777777">
      <w:pPr>
        <w:rPr>
          <w:rFonts w:eastAsia="Times New Roman" w:cs="Open Sans"/>
          <w:color w:val="000000"/>
          <w:szCs w:val="20"/>
          <w:lang w:eastAsia="nb-NO"/>
        </w:rPr>
      </w:pPr>
    </w:p>
    <w:p w:rsidR="00112B39" w:rsidP="00112B39" w14:paraId="317D066B" w14:textId="77777777">
      <w:pPr>
        <w:rPr>
          <w:rFonts w:cs="Open Sans"/>
          <w:szCs w:val="20"/>
        </w:rPr>
      </w:pPr>
      <w:r w:rsidRPr="00B96404">
        <w:rPr>
          <w:rFonts w:eastAsia="Times New Roman" w:cs="Open Sans"/>
          <w:color w:val="000000"/>
          <w:szCs w:val="20"/>
          <w:lang w:eastAsia="nb-NO"/>
        </w:rPr>
        <w:t xml:space="preserve">Kommunene melder om at det er svært gode erfaringer med bruk av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på storfe. Investeringer i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kan bidra til flere storfe på utmarksbeite, og tilskudd til </w:t>
      </w:r>
      <w:r w:rsidRPr="00B96404">
        <w:rPr>
          <w:rFonts w:eastAsia="Times New Roman" w:cs="Open Sans"/>
          <w:color w:val="000000"/>
          <w:szCs w:val="20"/>
          <w:lang w:eastAsia="nb-NO"/>
        </w:rPr>
        <w:t>n</w:t>
      </w:r>
      <w:r w:rsidRPr="00B96404">
        <w:rPr>
          <w:rFonts w:cs="Open Sans"/>
          <w:szCs w:val="20"/>
        </w:rPr>
        <w:t>ofence</w:t>
      </w:r>
      <w:r w:rsidRPr="00B96404">
        <w:rPr>
          <w:rFonts w:cs="Open Sans"/>
          <w:szCs w:val="20"/>
        </w:rPr>
        <w:t xml:space="preserve"> bør derfor prioriteres til storfe. </w:t>
      </w:r>
      <w:r w:rsidRPr="00B96404">
        <w:rPr>
          <w:rFonts w:cs="Open Sans"/>
          <w:szCs w:val="20"/>
        </w:rPr>
        <w:t>Nofence</w:t>
      </w:r>
      <w:r w:rsidRPr="00B96404">
        <w:rPr>
          <w:rFonts w:cs="Open Sans"/>
          <w:szCs w:val="20"/>
        </w:rPr>
        <w:t xml:space="preserve"> til geit ser også ut til å fungere svært bra og kommuner med geit-besetninger kan gjerne prioritere tilskudd til </w:t>
      </w:r>
      <w:r w:rsidRPr="00B96404">
        <w:rPr>
          <w:rFonts w:cs="Open Sans"/>
          <w:szCs w:val="20"/>
        </w:rPr>
        <w:t>nofence</w:t>
      </w:r>
      <w:r w:rsidRPr="00B96404">
        <w:rPr>
          <w:rFonts w:cs="Open Sans"/>
          <w:szCs w:val="20"/>
        </w:rPr>
        <w:t xml:space="preserve"> på geit. </w:t>
      </w:r>
    </w:p>
    <w:p w:rsidR="00112B39" w:rsidP="00112B39" w14:paraId="246C1548" w14:textId="77777777">
      <w:pPr>
        <w:rPr>
          <w:rFonts w:cs="Open Sans"/>
          <w:szCs w:val="20"/>
        </w:rPr>
      </w:pPr>
    </w:p>
    <w:p w:rsidR="00112B39" w:rsidRPr="00B96404" w:rsidP="00112B39" w14:paraId="61793FE6" w14:textId="77777777">
      <w:pPr>
        <w:rPr>
          <w:rFonts w:eastAsia="Times New Roman" w:cs="Open Sans"/>
          <w:i/>
          <w:iCs/>
          <w:color w:val="000000"/>
          <w:szCs w:val="20"/>
          <w:lang w:eastAsia="nb-NO"/>
        </w:rPr>
      </w:pPr>
      <w:r w:rsidRPr="00B96404">
        <w:rPr>
          <w:rFonts w:cs="Open Sans"/>
          <w:szCs w:val="20"/>
        </w:rPr>
        <w:t xml:space="preserve">Men tilskudd til </w:t>
      </w:r>
      <w:r w:rsidRPr="00B96404">
        <w:rPr>
          <w:rFonts w:cs="Open Sans"/>
          <w:szCs w:val="20"/>
        </w:rPr>
        <w:t>nofence</w:t>
      </w:r>
      <w:r w:rsidRPr="00B96404">
        <w:rPr>
          <w:rFonts w:cs="Open Sans"/>
          <w:szCs w:val="20"/>
        </w:rPr>
        <w:t xml:space="preserve"> på sau bør fortsatt prioriteres ned innenfor ordningen tilskudd til tiltak i beiteområder. Bakgrunnen for dette er at d</w:t>
      </w:r>
      <w:r w:rsidRPr="00B96404">
        <w:rPr>
          <w:rFonts w:eastAsia="Times New Roman" w:cs="Open Sans"/>
          <w:color w:val="000000"/>
          <w:szCs w:val="20"/>
          <w:lang w:eastAsia="nb-NO"/>
        </w:rPr>
        <w:t xml:space="preserve">et ikke er nok midler over denne ordningen til at kommunene kan prioritere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til sau.</w:t>
      </w:r>
    </w:p>
    <w:p w:rsidR="00112B39" w:rsidRPr="00B96404" w:rsidP="00112B39" w14:paraId="0395451B" w14:textId="77777777">
      <w:pPr>
        <w:rPr>
          <w:rFonts w:eastAsia="Times New Roman" w:cs="Open Sans"/>
          <w:color w:val="000000"/>
          <w:szCs w:val="20"/>
          <w:lang w:eastAsia="nb-NO"/>
        </w:rPr>
      </w:pPr>
    </w:p>
    <w:p w:rsidR="00112B39" w:rsidRPr="00B96404" w:rsidP="00112B39" w14:paraId="1088DB87" w14:textId="77777777">
      <w:pPr>
        <w:rPr>
          <w:rFonts w:eastAsia="Times New Roman" w:cs="Open Sans"/>
          <w:color w:val="000000"/>
          <w:szCs w:val="20"/>
          <w:lang w:eastAsia="nb-NO"/>
        </w:rPr>
      </w:pPr>
      <w:r w:rsidRPr="00B96404">
        <w:rPr>
          <w:rFonts w:cs="Open Sans"/>
          <w:b/>
          <w:bCs/>
          <w:szCs w:val="20"/>
        </w:rPr>
        <w:t xml:space="preserve">Når kan kommunen innvilge tilskudd til </w:t>
      </w:r>
      <w:r w:rsidRPr="00B96404">
        <w:rPr>
          <w:rFonts w:cs="Open Sans"/>
          <w:b/>
          <w:bCs/>
          <w:szCs w:val="20"/>
        </w:rPr>
        <w:t>nofence</w:t>
      </w:r>
      <w:r w:rsidRPr="00B96404">
        <w:rPr>
          <w:rFonts w:cs="Open Sans"/>
          <w:b/>
          <w:bCs/>
          <w:szCs w:val="20"/>
        </w:rPr>
        <w:t xml:space="preserve"> hos enkeltbrukere</w:t>
      </w:r>
      <w:r w:rsidRPr="00B96404">
        <w:rPr>
          <w:rFonts w:eastAsia="Times New Roman" w:cs="Open Sans"/>
          <w:color w:val="000000"/>
          <w:szCs w:val="20"/>
          <w:lang w:eastAsia="nb-NO"/>
        </w:rPr>
        <w:t xml:space="preserve"> Selv om vi nå har flere storfe på utmarksbeite er andelen storfebrukere i beitelagene ofte lav sett i forhold til de som driver med sau. I tilfeller, der det få medlemmer i laget med storfe og det derfor ikke</w:t>
      </w:r>
      <w:r w:rsidRPr="00B96404">
        <w:rPr>
          <w:rFonts w:cs="Open Sans"/>
          <w:color w:val="000000"/>
          <w:szCs w:val="20"/>
        </w:rPr>
        <w:t xml:space="preserve"> </w:t>
      </w:r>
      <w:r w:rsidRPr="00B96404">
        <w:rPr>
          <w:rFonts w:eastAsia="Times New Roman" w:cs="Open Sans"/>
          <w:color w:val="000000"/>
          <w:szCs w:val="20"/>
          <w:lang w:eastAsia="nb-NO"/>
        </w:rPr>
        <w:t xml:space="preserve">ligger til rette for </w:t>
      </w:r>
      <w:r w:rsidRPr="00B96404">
        <w:rPr>
          <w:rFonts w:eastAsia="Times New Roman" w:cs="Open Sans"/>
          <w:i/>
          <w:iCs/>
          <w:color w:val="000000"/>
          <w:szCs w:val="20"/>
          <w:lang w:eastAsia="nb-NO"/>
        </w:rPr>
        <w:t xml:space="preserve">samarbeid i laget </w:t>
      </w:r>
      <w:r w:rsidRPr="00B96404">
        <w:rPr>
          <w:rFonts w:eastAsia="Times New Roman" w:cs="Open Sans"/>
          <w:color w:val="000000"/>
          <w:szCs w:val="20"/>
          <w:lang w:eastAsia="nb-NO"/>
        </w:rPr>
        <w:t xml:space="preserve">om bruk av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på storfe blir det uhensiktsmessig at beitelaget skal stå som eier av/drifte </w:t>
      </w:r>
      <w:r w:rsidRPr="00B96404">
        <w:rPr>
          <w:rFonts w:eastAsia="Times New Roman" w:cs="Open Sans"/>
          <w:color w:val="000000"/>
          <w:szCs w:val="20"/>
          <w:lang w:eastAsia="nb-NO"/>
        </w:rPr>
        <w:t>nofenceklavene</w:t>
      </w:r>
      <w:r w:rsidRPr="00B96404">
        <w:rPr>
          <w:rFonts w:eastAsia="Times New Roman" w:cs="Open Sans"/>
          <w:color w:val="000000"/>
          <w:szCs w:val="20"/>
          <w:lang w:eastAsia="nb-NO"/>
        </w:rPr>
        <w:t>. Kommunen kan da innvilge tilskudd til enkeltbruker i laget jf. §2 andre ledd. En forutsetning er at brukene slipper storfe på utmarksbeite. For å stimulere til fortsatt organisering i beiteområdene henstiller vi til at kommunen prioriterer tilskudd storfebrukere som er medlem i beitelag.</w:t>
      </w:r>
    </w:p>
    <w:p w:rsidR="00112B39" w:rsidRPr="00B96404" w:rsidP="00112B39" w14:paraId="6D5A7ECA" w14:textId="77777777">
      <w:pPr>
        <w:rPr>
          <w:rFonts w:eastAsia="Times New Roman" w:cs="Open Sans"/>
          <w:b/>
          <w:bCs/>
          <w:i/>
          <w:iCs/>
          <w:color w:val="000000"/>
          <w:szCs w:val="20"/>
          <w:lang w:eastAsia="nb-NO"/>
        </w:rPr>
      </w:pPr>
    </w:p>
    <w:p w:rsidR="00112B39" w:rsidRPr="00B96404" w:rsidP="00112B39" w14:paraId="43BF06CA" w14:textId="77777777">
      <w:pPr>
        <w:rPr>
          <w:rFonts w:eastAsia="Times New Roman" w:cs="Open Sans"/>
          <w:b/>
          <w:bCs/>
          <w:i/>
          <w:iCs/>
          <w:color w:val="000000"/>
          <w:sz w:val="24"/>
          <w:szCs w:val="24"/>
          <w:lang w:eastAsia="nb-NO"/>
        </w:rPr>
      </w:pPr>
    </w:p>
    <w:p w:rsidR="00112B39" w:rsidRPr="00B96404" w:rsidP="00112B39" w14:paraId="12745385"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Omfordeling av midler mellom kommunene etter 10. september</w:t>
      </w:r>
    </w:p>
    <w:p w:rsidR="00112B39" w:rsidRPr="00B96404" w:rsidP="00112B39" w14:paraId="13B4CA85" w14:textId="77777777">
      <w:pPr>
        <w:rPr>
          <w:rFonts w:eastAsia="Times New Roman" w:cs="Open Sans"/>
          <w:b/>
          <w:bCs/>
          <w:i/>
          <w:iCs/>
          <w:color w:val="000000"/>
          <w:szCs w:val="20"/>
          <w:lang w:eastAsia="nb-NO"/>
        </w:rPr>
      </w:pPr>
    </w:p>
    <w:p w:rsidR="00112B39" w:rsidRPr="00B96404" w:rsidP="00112B39" w14:paraId="19CA0272" w14:textId="77777777">
      <w:pPr>
        <w:rPr>
          <w:rFonts w:eastAsia="Times New Roman" w:cs="Open Sans"/>
          <w:color w:val="000000"/>
          <w:szCs w:val="20"/>
          <w:lang w:eastAsia="nb-NO"/>
        </w:rPr>
      </w:pPr>
      <w:r w:rsidRPr="00B96404">
        <w:rPr>
          <w:rFonts w:eastAsia="Times New Roman" w:cs="Open Sans"/>
          <w:color w:val="000000"/>
          <w:szCs w:val="20"/>
          <w:lang w:eastAsia="nb-NO"/>
        </w:rPr>
        <w:t>I tildelingsbrevet fra KMD står det at Statsforvalteren skal veilede og fordele tilskuddsrammer til kommunene, herunder omfordele midler dersom det er nødvendig.</w:t>
      </w:r>
    </w:p>
    <w:p w:rsidR="00112B39" w:rsidRPr="00B96404" w:rsidP="00112B39" w14:paraId="75CC96BE" w14:textId="77777777">
      <w:pPr>
        <w:rPr>
          <w:rFonts w:eastAsia="Times New Roman" w:cs="Open Sans"/>
          <w:color w:val="000000"/>
          <w:szCs w:val="20"/>
          <w:lang w:eastAsia="nb-NO"/>
        </w:rPr>
      </w:pPr>
    </w:p>
    <w:p w:rsidR="00112B39" w:rsidRPr="00B96404" w:rsidP="00112B39" w14:paraId="44BFF43B"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Med bakgrunn i dette fordeler vi nå hele fylkesrammen på kommunene, men etter beitesesongen vil vi trekke inn ubrukte midler, for omfordeling til kommuner med merbehov, slik praksis også var i 2022. Ubrukte midler trekkes inn etter 10. september 2023. </w:t>
      </w:r>
      <w:r w:rsidRPr="00B96404">
        <w:rPr>
          <w:rFonts w:eastAsia="Times New Roman" w:cs="Open Sans"/>
          <w:i/>
          <w:iCs/>
          <w:color w:val="000000"/>
          <w:szCs w:val="20"/>
          <w:lang w:eastAsia="nb-NO"/>
        </w:rPr>
        <w:t xml:space="preserve">Det betyr at </w:t>
      </w:r>
      <w:r w:rsidRPr="00B96404">
        <w:rPr>
          <w:rFonts w:eastAsia="Times New Roman" w:cs="Open Sans"/>
          <w:b/>
          <w:bCs/>
          <w:i/>
          <w:iCs/>
          <w:color w:val="000000"/>
          <w:szCs w:val="20"/>
          <w:lang w:eastAsia="nb-NO"/>
        </w:rPr>
        <w:t xml:space="preserve">kommunen må sette søknadsfrist </w:t>
      </w:r>
      <w:r w:rsidRPr="00B96404">
        <w:rPr>
          <w:rFonts w:eastAsia="Times New Roman" w:cs="Open Sans"/>
          <w:i/>
          <w:iCs/>
          <w:color w:val="000000"/>
          <w:szCs w:val="20"/>
          <w:lang w:eastAsia="nb-NO"/>
        </w:rPr>
        <w:t>slik at det er mulig å behandle årets søknader i god id før dette!</w:t>
      </w:r>
    </w:p>
    <w:p w:rsidR="00112B39" w:rsidRPr="00B96404" w:rsidP="00112B39" w14:paraId="130942FE" w14:textId="77777777">
      <w:pPr>
        <w:rPr>
          <w:rFonts w:eastAsia="Times New Roman" w:cs="Open Sans"/>
          <w:color w:val="000000"/>
          <w:szCs w:val="20"/>
          <w:lang w:eastAsia="nb-NO"/>
        </w:rPr>
      </w:pPr>
    </w:p>
    <w:p w:rsidR="00112B39" w:rsidRPr="00B96404" w:rsidP="00112B39" w14:paraId="655BCFA8"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Før midler trekkes inn og omfordeles vil vi hente ut rapporter fra </w:t>
      </w:r>
      <w:r w:rsidRPr="00B96404">
        <w:rPr>
          <w:rFonts w:eastAsia="Times New Roman" w:cs="Open Sans"/>
          <w:color w:val="000000"/>
          <w:szCs w:val="20"/>
          <w:lang w:eastAsia="nb-NO"/>
        </w:rPr>
        <w:t>Agros</w:t>
      </w:r>
      <w:r w:rsidRPr="00B96404">
        <w:rPr>
          <w:rFonts w:eastAsia="Times New Roman" w:cs="Open Sans"/>
          <w:color w:val="000000"/>
          <w:szCs w:val="20"/>
          <w:lang w:eastAsia="nb-NO"/>
        </w:rPr>
        <w:t xml:space="preserve"> og se på antall ubehandlede søknader, samt hvordan tildelte midler er brukt per 10. september (se spesielt om våre prioriteringer mht. til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i forrige punkt). Vi vil også be om prioriteringer fra kommunen.</w:t>
      </w:r>
    </w:p>
    <w:p w:rsidR="00112B39" w:rsidRPr="00B96404" w:rsidP="00112B39" w14:paraId="0E3A4184" w14:textId="77777777">
      <w:pPr>
        <w:rPr>
          <w:rFonts w:eastAsia="Times New Roman" w:cs="Open Sans"/>
          <w:b/>
          <w:bCs/>
          <w:i/>
          <w:iCs/>
          <w:color w:val="000000"/>
          <w:szCs w:val="20"/>
          <w:lang w:eastAsia="nb-NO"/>
        </w:rPr>
      </w:pPr>
    </w:p>
    <w:p w:rsidR="00112B39" w:rsidRPr="00B96404" w:rsidP="00112B39" w14:paraId="6BF0247D"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Fagsystem og tilganger</w:t>
      </w:r>
    </w:p>
    <w:p w:rsidR="00112B39" w:rsidRPr="00B96404" w:rsidP="00112B39" w14:paraId="76B4D0CF"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Tilskudd til tiltak i beiteordninger behandles i </w:t>
      </w:r>
      <w:r w:rsidRPr="00B96404">
        <w:rPr>
          <w:rFonts w:eastAsia="Times New Roman" w:cs="Open Sans"/>
          <w:color w:val="000000"/>
          <w:szCs w:val="20"/>
          <w:lang w:eastAsia="nb-NO"/>
        </w:rPr>
        <w:t>Agros</w:t>
      </w:r>
      <w:r w:rsidRPr="00B96404">
        <w:rPr>
          <w:rFonts w:eastAsia="Times New Roman" w:cs="Open Sans"/>
          <w:color w:val="000000"/>
          <w:szCs w:val="20"/>
          <w:lang w:eastAsia="nb-NO"/>
        </w:rPr>
        <w:t xml:space="preserve">. Veiledere for saksbehandling i </w:t>
      </w:r>
      <w:r w:rsidRPr="00B96404">
        <w:rPr>
          <w:rFonts w:eastAsia="Times New Roman" w:cs="Open Sans"/>
          <w:color w:val="000000"/>
          <w:szCs w:val="20"/>
          <w:lang w:eastAsia="nb-NO"/>
        </w:rPr>
        <w:t>Agros</w:t>
      </w:r>
      <w:r w:rsidRPr="00B96404">
        <w:rPr>
          <w:rFonts w:eastAsia="Times New Roman" w:cs="Open Sans"/>
          <w:color w:val="000000"/>
          <w:szCs w:val="20"/>
          <w:lang w:eastAsia="nb-NO"/>
        </w:rPr>
        <w:t xml:space="preserve"> og info om kommunens tilganger til fagsystemet ligger på nettsidene til </w:t>
      </w:r>
      <w:r w:rsidRPr="00B96404">
        <w:rPr>
          <w:rFonts w:eastAsia="Times New Roman" w:cs="Open Sans"/>
          <w:color w:val="000000"/>
          <w:szCs w:val="20"/>
          <w:lang w:eastAsia="nb-NO"/>
        </w:rPr>
        <w:t>landbruksdirektoratet</w:t>
      </w:r>
      <w:r w:rsidRPr="00B96404">
        <w:rPr>
          <w:rFonts w:eastAsia="Times New Roman" w:cs="Open Sans"/>
          <w:color w:val="000000"/>
          <w:szCs w:val="20"/>
          <w:lang w:eastAsia="nb-NO"/>
        </w:rPr>
        <w:t>.</w:t>
      </w:r>
    </w:p>
    <w:p w:rsidR="00112B39" w:rsidRPr="00B96404" w:rsidP="00112B39" w14:paraId="11BB89B7" w14:textId="77777777">
      <w:pPr>
        <w:rPr>
          <w:rFonts w:eastAsia="Times New Roman" w:cs="Open Sans"/>
          <w:b/>
          <w:bCs/>
          <w:i/>
          <w:iCs/>
          <w:color w:val="000000"/>
          <w:szCs w:val="20"/>
          <w:lang w:eastAsia="nb-NO"/>
        </w:rPr>
      </w:pPr>
    </w:p>
    <w:p w:rsidR="00112B39" w:rsidRPr="00B96404" w:rsidP="00112B39" w14:paraId="629EF656" w14:textId="77777777">
      <w:pPr>
        <w:numPr>
          <w:ilvl w:val="0"/>
          <w:numId w:val="1"/>
        </w:numPr>
        <w:rPr>
          <w:rFonts w:cs="Open Sans"/>
          <w:szCs w:val="20"/>
        </w:rPr>
      </w:pPr>
      <w:r w:rsidRPr="00B96404">
        <w:rPr>
          <w:rFonts w:cs="Open Sans"/>
          <w:szCs w:val="20"/>
        </w:rPr>
        <w:t>Om fagsystemet «</w:t>
      </w:r>
      <w:r w:rsidRPr="00B96404">
        <w:rPr>
          <w:rFonts w:cs="Open Sans"/>
          <w:szCs w:val="20"/>
        </w:rPr>
        <w:t>Agros</w:t>
      </w:r>
      <w:r w:rsidRPr="00B96404">
        <w:rPr>
          <w:rFonts w:cs="Open Sans"/>
          <w:szCs w:val="20"/>
        </w:rPr>
        <w:t xml:space="preserve">» – </w:t>
      </w:r>
      <w:hyperlink r:id="rId9" w:history="1">
        <w:r w:rsidRPr="00B96404">
          <w:rPr>
            <w:rFonts w:cs="Open Sans"/>
            <w:color w:val="0563C1" w:themeColor="hyperlink"/>
            <w:szCs w:val="20"/>
            <w:u w:val="single"/>
          </w:rPr>
          <w:t xml:space="preserve">se her </w:t>
        </w:r>
      </w:hyperlink>
      <w:r w:rsidRPr="00B96404">
        <w:rPr>
          <w:rFonts w:cs="Open Sans"/>
          <w:szCs w:val="20"/>
        </w:rPr>
        <w:t xml:space="preserve">  </w:t>
      </w:r>
    </w:p>
    <w:p w:rsidR="00112B39" w:rsidRPr="00B96404" w:rsidP="00112B39" w14:paraId="075D3EAD" w14:textId="77777777">
      <w:pPr>
        <w:numPr>
          <w:ilvl w:val="0"/>
          <w:numId w:val="1"/>
        </w:numPr>
        <w:rPr>
          <w:rFonts w:cs="Open Sans"/>
          <w:szCs w:val="20"/>
          <w:lang w:val="en-GB"/>
        </w:rPr>
      </w:pPr>
      <w:r w:rsidRPr="00B96404">
        <w:rPr>
          <w:rFonts w:cs="Open Sans"/>
          <w:szCs w:val="20"/>
          <w:lang w:val="en-GB"/>
        </w:rPr>
        <w:t>Tilgang</w:t>
      </w:r>
      <w:r w:rsidRPr="00B96404">
        <w:rPr>
          <w:rFonts w:cs="Open Sans"/>
          <w:szCs w:val="20"/>
          <w:lang w:val="en-GB"/>
        </w:rPr>
        <w:t xml:space="preserve"> </w:t>
      </w:r>
      <w:r w:rsidRPr="00B96404">
        <w:rPr>
          <w:rFonts w:cs="Open Sans"/>
          <w:szCs w:val="20"/>
          <w:lang w:val="en-GB"/>
        </w:rPr>
        <w:t>til</w:t>
      </w:r>
      <w:r w:rsidRPr="00B96404">
        <w:rPr>
          <w:rFonts w:cs="Open Sans"/>
          <w:szCs w:val="20"/>
          <w:lang w:val="en-GB"/>
        </w:rPr>
        <w:t xml:space="preserve"> </w:t>
      </w:r>
      <w:r w:rsidRPr="00B96404">
        <w:rPr>
          <w:rFonts w:cs="Open Sans"/>
          <w:szCs w:val="20"/>
          <w:lang w:val="en-GB"/>
        </w:rPr>
        <w:t>fagsystemet</w:t>
      </w:r>
      <w:r w:rsidRPr="00B96404">
        <w:rPr>
          <w:rFonts w:cs="Open Sans"/>
          <w:szCs w:val="20"/>
          <w:lang w:val="en-GB"/>
        </w:rPr>
        <w:t xml:space="preserve"> – </w:t>
      </w:r>
      <w:hyperlink r:id="rId10" w:history="1">
        <w:r w:rsidRPr="00B96404">
          <w:rPr>
            <w:rFonts w:cs="Open Sans"/>
            <w:color w:val="0563C1" w:themeColor="hyperlink"/>
            <w:szCs w:val="20"/>
            <w:u w:val="single"/>
            <w:lang w:val="en-GB"/>
          </w:rPr>
          <w:t>se</w:t>
        </w:r>
        <w:r w:rsidRPr="00B96404">
          <w:rPr>
            <w:rFonts w:cs="Open Sans"/>
            <w:color w:val="0563C1" w:themeColor="hyperlink"/>
            <w:szCs w:val="20"/>
            <w:u w:val="single"/>
            <w:lang w:val="en-GB"/>
          </w:rPr>
          <w:t xml:space="preserve"> her</w:t>
        </w:r>
      </w:hyperlink>
    </w:p>
    <w:p w:rsidR="00112B39" w:rsidRPr="00B96404" w:rsidP="00112B39" w14:paraId="1F3A28E0" w14:textId="77777777">
      <w:pPr>
        <w:rPr>
          <w:rFonts w:eastAsia="Times New Roman" w:cs="Open Sans"/>
          <w:b/>
          <w:bCs/>
          <w:i/>
          <w:iCs/>
          <w:color w:val="000000"/>
          <w:szCs w:val="20"/>
          <w:lang w:eastAsia="nb-NO"/>
        </w:rPr>
      </w:pPr>
    </w:p>
    <w:p w:rsidR="00112B39" w:rsidRPr="00B96404" w:rsidP="00112B39" w14:paraId="153ECB6E" w14:textId="77777777">
      <w:pPr>
        <w:rPr>
          <w:rFonts w:eastAsia="Times New Roman" w:cs="Open Sans"/>
          <w:b/>
          <w:bCs/>
          <w:i/>
          <w:iCs/>
          <w:color w:val="000000"/>
          <w:szCs w:val="20"/>
          <w:lang w:eastAsia="nb-NO"/>
        </w:rPr>
      </w:pPr>
    </w:p>
    <w:p w:rsidR="00112B39" w:rsidRPr="00B96404" w:rsidP="00112B39" w14:paraId="250EFB54"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Oversikt over aktuelle frister for kommunene og beitelag/beitebrukere i 2023</w:t>
      </w:r>
    </w:p>
    <w:p w:rsidR="00112B39" w:rsidRPr="00B96404" w:rsidP="00112B39" w14:paraId="4ACC7A1D" w14:textId="77777777">
      <w:pPr>
        <w:rPr>
          <w:rFonts w:eastAsia="Times New Roman" w:cs="Open Sans"/>
          <w:b/>
          <w:bCs/>
          <w:color w:val="000000"/>
          <w:szCs w:val="20"/>
          <w:lang w:eastAsia="nb-NO"/>
        </w:rPr>
      </w:pPr>
    </w:p>
    <w:p w:rsidR="00112B39" w:rsidRPr="00B96404" w:rsidP="00112B39" w14:paraId="21759802"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30. august </w:t>
      </w:r>
      <w:r w:rsidRPr="00B96404">
        <w:rPr>
          <w:rFonts w:eastAsia="Times New Roman" w:cs="Open Sans"/>
          <w:color w:val="000000"/>
          <w:szCs w:val="20"/>
          <w:lang w:eastAsia="nb-NO"/>
        </w:rPr>
        <w:t>- Frist for å melde fra om nye beitelag/beiteområder til Landbruksdirektoratet. Endringer i beitelagskartet skal meldes fra til NIBIO og kan gjøres fortløpende gjennom hele året.</w:t>
      </w:r>
    </w:p>
    <w:p w:rsidR="00112B39" w:rsidRPr="00B96404" w:rsidP="00112B39" w14:paraId="375546AA"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10. september </w:t>
      </w:r>
      <w:r w:rsidRPr="00B96404">
        <w:rPr>
          <w:rFonts w:eastAsia="Times New Roman" w:cs="Open Sans"/>
          <w:color w:val="000000"/>
          <w:szCs w:val="20"/>
          <w:lang w:eastAsia="nb-NO"/>
        </w:rPr>
        <w:t>- Ubrukte tilskuddsmidler (tiltak i beiteområder) på kommunal ramme trekkes inn for omfordeling til kommuner med merbehov.</w:t>
      </w:r>
    </w:p>
    <w:p w:rsidR="00112B39" w:rsidRPr="00B96404" w:rsidP="00112B39" w14:paraId="5D84BB9A"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10. november </w:t>
      </w:r>
      <w:r w:rsidRPr="00B96404">
        <w:rPr>
          <w:rFonts w:eastAsia="Times New Roman" w:cs="Open Sans"/>
          <w:color w:val="000000"/>
          <w:szCs w:val="20"/>
          <w:lang w:eastAsia="nb-NO"/>
        </w:rPr>
        <w:t xml:space="preserve">– Frist for kommunene å melde inn </w:t>
      </w:r>
      <w:r w:rsidRPr="00B96404">
        <w:rPr>
          <w:rFonts w:eastAsia="Times New Roman" w:cs="Open Sans"/>
          <w:i/>
          <w:iCs/>
          <w:color w:val="000000"/>
          <w:szCs w:val="20"/>
          <w:lang w:eastAsia="nb-NO"/>
        </w:rPr>
        <w:t xml:space="preserve">behov for midler til «tiltak i beiteområder» </w:t>
      </w:r>
      <w:r w:rsidRPr="00B96404">
        <w:rPr>
          <w:rFonts w:eastAsia="Times New Roman" w:cs="Open Sans"/>
          <w:color w:val="000000"/>
          <w:szCs w:val="20"/>
          <w:lang w:eastAsia="nb-NO"/>
        </w:rPr>
        <w:t xml:space="preserve">for neste år (2024). Det blir sendt ut eget skjema til kommunene for innmelding av behov. Fristen til 10. November er satt for å rekke å gå igjennom tilbakemeldingene og rapportere videre til Landbruksdirektoratet om samla behov for tiltak i Trøndelag innen </w:t>
      </w:r>
      <w:r w:rsidRPr="00B96404">
        <w:rPr>
          <w:rFonts w:eastAsia="Times New Roman" w:cs="Open Sans"/>
          <w:i/>
          <w:iCs/>
          <w:color w:val="000000"/>
          <w:szCs w:val="20"/>
          <w:lang w:eastAsia="nb-NO"/>
        </w:rPr>
        <w:t xml:space="preserve">vår frist </w:t>
      </w:r>
      <w:r w:rsidRPr="00B96404">
        <w:rPr>
          <w:rFonts w:eastAsia="Times New Roman" w:cs="Open Sans"/>
          <w:color w:val="000000"/>
          <w:szCs w:val="20"/>
          <w:lang w:eastAsia="nb-NO"/>
        </w:rPr>
        <w:t>til Direktoratet 20. November.</w:t>
      </w:r>
    </w:p>
    <w:p w:rsidR="00112B39" w:rsidRPr="00B96404" w:rsidP="00112B39" w14:paraId="481DE69A"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15. november </w:t>
      </w:r>
      <w:r w:rsidRPr="00B96404">
        <w:rPr>
          <w:rFonts w:eastAsia="Times New Roman" w:cs="Open Sans"/>
          <w:color w:val="000000"/>
          <w:szCs w:val="20"/>
          <w:lang w:eastAsia="nb-NO"/>
        </w:rPr>
        <w:t>- Frist for beitelag å søke tilskudd til drift av beitelag gjennom regionale miljøtilskudd.</w:t>
      </w:r>
    </w:p>
    <w:p w:rsidR="00112B39" w:rsidRPr="00B96404" w:rsidP="00112B39" w14:paraId="3E246BC0" w14:textId="77777777">
      <w:pPr>
        <w:rPr>
          <w:rFonts w:eastAsia="Times New Roman" w:cs="Open Sans"/>
          <w:color w:val="000000"/>
          <w:szCs w:val="20"/>
          <w:lang w:eastAsia="nb-NO"/>
        </w:rPr>
      </w:pPr>
      <w:r w:rsidRPr="00B96404">
        <w:rPr>
          <w:rFonts w:eastAsia="Times New Roman" w:cs="Open Sans"/>
          <w:color w:val="000000"/>
          <w:szCs w:val="20"/>
          <w:lang w:eastAsia="nb-NO"/>
        </w:rPr>
        <w:t>Informer gjerne om disse fristene ved kontakt med beitelag/beitebrukere i løpet av året.</w:t>
      </w:r>
    </w:p>
    <w:p w:rsidR="00112B39" w:rsidRPr="00B96404" w:rsidP="00112B39" w14:paraId="16467B5F" w14:textId="77777777">
      <w:pPr>
        <w:rPr>
          <w:rFonts w:eastAsia="Times New Roman" w:cs="Open Sans"/>
          <w:b/>
          <w:bCs/>
          <w:color w:val="000000"/>
          <w:szCs w:val="20"/>
          <w:lang w:eastAsia="nb-NO"/>
        </w:rPr>
      </w:pPr>
    </w:p>
    <w:p w:rsidR="00112B39" w:rsidRPr="00B96404" w:rsidP="00112B39" w14:paraId="28F79E17"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Kontaktpersoner </w:t>
      </w:r>
      <w:r w:rsidRPr="00B96404">
        <w:rPr>
          <w:rFonts w:eastAsia="Times New Roman" w:cs="Open Sans"/>
          <w:color w:val="000000"/>
          <w:szCs w:val="20"/>
          <w:lang w:eastAsia="nb-NO"/>
        </w:rPr>
        <w:t>for ordningen tilskudd til tiltak i beiteområder hos Statsforvalteren i Trøndelag:</w:t>
      </w:r>
    </w:p>
    <w:p w:rsidR="00112B39" w:rsidRPr="00B96404" w:rsidP="00112B39" w14:paraId="3E78A322" w14:textId="77777777">
      <w:pPr>
        <w:rPr>
          <w:rFonts w:eastAsia="Times New Roman" w:cs="Open Sans"/>
          <w:color w:val="000000"/>
          <w:szCs w:val="20"/>
          <w:lang w:eastAsia="nb-NO"/>
        </w:rPr>
      </w:pPr>
      <w:r w:rsidRPr="00B96404">
        <w:rPr>
          <w:rFonts w:ascii="Symbol" w:eastAsia="Times New Roman" w:hAnsi="Symbol" w:cs="Open Sans"/>
          <w:color w:val="000000"/>
          <w:szCs w:val="20"/>
          <w:lang w:eastAsia="nb-NO"/>
        </w:rPr>
        <w:sym w:font="Symbol" w:char="F0B7"/>
      </w:r>
      <w:r w:rsidRPr="00B96404">
        <w:rPr>
          <w:rFonts w:eastAsia="Times New Roman" w:cs="Open Sans"/>
          <w:color w:val="000000"/>
          <w:szCs w:val="20"/>
          <w:lang w:eastAsia="nb-NO"/>
        </w:rPr>
        <w:t xml:space="preserve"> Eva Dybwad Alstad, tel 73 19 92 75, e-post: fmtleal@statsforvalteren.no</w:t>
      </w:r>
    </w:p>
    <w:p w:rsidR="00112B39" w:rsidRPr="00B96404" w:rsidP="00112B39" w14:paraId="351733D5" w14:textId="77777777">
      <w:pPr>
        <w:rPr>
          <w:rFonts w:eastAsia="Times New Roman" w:cs="Open Sans"/>
          <w:color w:val="000000"/>
          <w:szCs w:val="20"/>
          <w:lang w:eastAsia="nb-NO"/>
        </w:rPr>
      </w:pPr>
      <w:r w:rsidRPr="00B96404">
        <w:rPr>
          <w:rFonts w:ascii="Symbol" w:eastAsia="Times New Roman" w:hAnsi="Symbol" w:cs="Open Sans"/>
          <w:color w:val="000000"/>
          <w:szCs w:val="20"/>
          <w:lang w:eastAsia="nb-NO"/>
        </w:rPr>
        <w:sym w:font="Symbol" w:char="F0B7"/>
      </w:r>
      <w:r w:rsidRPr="00B96404">
        <w:rPr>
          <w:rFonts w:eastAsia="Times New Roman" w:cs="Open Sans"/>
          <w:color w:val="000000"/>
          <w:szCs w:val="20"/>
          <w:lang w:eastAsia="nb-NO"/>
        </w:rPr>
        <w:t xml:space="preserve"> Marit Røstad, tel 74 16 81 01, e-post: maros@statsforvalteren.no</w:t>
      </w:r>
    </w:p>
    <w:p w:rsidR="00112B39" w:rsidRPr="00B96404" w:rsidP="00112B39" w14:paraId="562C3C1B" w14:textId="77777777">
      <w:pPr>
        <w:rPr>
          <w:rFonts w:eastAsia="Times New Roman" w:cs="Open Sans"/>
          <w:color w:val="000000"/>
          <w:szCs w:val="20"/>
          <w:lang w:eastAsia="nb-NO"/>
        </w:rPr>
      </w:pPr>
      <w:r w:rsidRPr="00B96404">
        <w:rPr>
          <w:rFonts w:ascii="Symbol" w:eastAsia="Times New Roman" w:hAnsi="Symbol" w:cs="Open Sans"/>
          <w:color w:val="000000"/>
          <w:szCs w:val="20"/>
          <w:lang w:eastAsia="nb-NO"/>
        </w:rPr>
        <w:sym w:font="Symbol" w:char="F0B7"/>
      </w:r>
      <w:r w:rsidRPr="00B96404">
        <w:rPr>
          <w:rFonts w:eastAsia="Times New Roman" w:cs="Open Sans"/>
          <w:color w:val="000000"/>
          <w:szCs w:val="20"/>
          <w:lang w:eastAsia="nb-NO"/>
        </w:rPr>
        <w:t xml:space="preserve"> Anstein Lyngstad, tel 74 16 81 81, e-post </w:t>
      </w:r>
      <w:hyperlink r:id="rId11" w:history="1">
        <w:r w:rsidRPr="00B96404">
          <w:rPr>
            <w:rFonts w:eastAsia="Times New Roman" w:cs="Open Sans"/>
            <w:color w:val="0563C1" w:themeColor="hyperlink"/>
            <w:szCs w:val="20"/>
            <w:u w:val="single"/>
            <w:lang w:eastAsia="nb-NO"/>
          </w:rPr>
          <w:t>fmtlaly@statsforvalteren.no</w:t>
        </w:r>
      </w:hyperlink>
    </w:p>
    <w:p w:rsidR="00112B39" w:rsidP="00112B39" w14:paraId="7A0ACDD1" w14:textId="77777777">
      <w:pPr>
        <w:rPr>
          <w:rFonts w:cs="Open Sans"/>
          <w:b/>
          <w:bCs/>
          <w:i/>
          <w:iCs/>
          <w:color w:val="000000"/>
          <w:sz w:val="24"/>
          <w:szCs w:val="24"/>
        </w:rPr>
      </w:pPr>
    </w:p>
    <w:p w:rsidR="00112B39" w:rsidRPr="00B96404" w:rsidP="00112B39" w14:paraId="0B86CE5B" w14:textId="77777777">
      <w:pPr>
        <w:rPr>
          <w:rFonts w:cs="Open Sans"/>
          <w:b/>
          <w:bCs/>
          <w:i/>
          <w:iCs/>
          <w:color w:val="000000"/>
          <w:sz w:val="24"/>
          <w:szCs w:val="24"/>
        </w:rPr>
      </w:pPr>
      <w:r w:rsidRPr="00B96404">
        <w:rPr>
          <w:rFonts w:cs="Open Sans"/>
          <w:b/>
          <w:bCs/>
          <w:i/>
          <w:iCs/>
          <w:color w:val="000000"/>
          <w:sz w:val="24"/>
          <w:szCs w:val="24"/>
        </w:rPr>
        <w:t>Tiltak i beiteområder – kommunale rammer i Trøndelag for 2023</w:t>
      </w:r>
    </w:p>
    <w:p w:rsidR="00112B39" w:rsidRPr="00B96404" w:rsidP="00112B39" w14:paraId="4DA71D40" w14:textId="77777777">
      <w:pPr>
        <w:rPr>
          <w:rFonts w:cs="Open Sans"/>
          <w:color w:val="000000"/>
          <w:szCs w:val="20"/>
        </w:rPr>
      </w:pPr>
      <w:r w:rsidRPr="00B96404">
        <w:rPr>
          <w:rFonts w:cs="Open Sans"/>
          <w:color w:val="000000"/>
          <w:szCs w:val="20"/>
        </w:rPr>
        <w:t xml:space="preserve">Tabellen nedenfor viser fordelingen av tilskudd til tiltak i beiteområder i Trøndelag for 2023. </w:t>
      </w:r>
    </w:p>
    <w:p w:rsidR="00112B39" w:rsidRPr="00B96404" w:rsidP="00112B39" w14:paraId="1F19EFD4" w14:textId="77777777">
      <w:pPr>
        <w:rPr>
          <w:rFonts w:cs="Open Sans"/>
          <w:color w:val="000000"/>
          <w:szCs w:val="20"/>
        </w:rPr>
      </w:pPr>
      <w:r w:rsidRPr="00B96404">
        <w:rPr>
          <w:rFonts w:cs="Open Sans"/>
          <w:color w:val="000000"/>
          <w:szCs w:val="20"/>
        </w:rPr>
        <w:t xml:space="preserve">Merk tildeling til Steinkjer kommune og Oppdal kommune merket med blått*. Når det gjelder tilskuddet på til sammen 410 000,- fordelt til Steinkjer kommune så er kr 210 000,- øremerket tilskudd til investeringer i Nord-Trøndelag radiobjellelag.  For Oppdal kommune så er kr 200 000,- av total ramme på til sammen 750 000,- øremerket investeringer i Sør-Trøndelag radiobjellelag. </w:t>
      </w:r>
    </w:p>
    <w:p w:rsidR="00112B39" w:rsidRPr="00B96404" w:rsidP="00112B39" w14:paraId="411247BF" w14:textId="77777777">
      <w:pPr>
        <w:rPr>
          <w:rFonts w:cs="Open Sans"/>
          <w:color w:val="000000"/>
          <w:szCs w:val="20"/>
        </w:rPr>
      </w:pPr>
    </w:p>
    <w:tbl>
      <w:tblPr>
        <w:tblW w:w="5240" w:type="dxa"/>
        <w:tblCellMar>
          <w:left w:w="70" w:type="dxa"/>
          <w:right w:w="70" w:type="dxa"/>
        </w:tblCellMar>
        <w:tblLook w:val="04A0"/>
      </w:tblPr>
      <w:tblGrid>
        <w:gridCol w:w="1360"/>
        <w:gridCol w:w="1760"/>
        <w:gridCol w:w="2120"/>
      </w:tblGrid>
      <w:tr w14:paraId="4FFC71FC" w14:textId="77777777" w:rsidTr="00E537AB">
        <w:tblPrEx>
          <w:tblW w:w="5240" w:type="dxa"/>
          <w:tblCellMar>
            <w:left w:w="70" w:type="dxa"/>
            <w:right w:w="70" w:type="dxa"/>
          </w:tblCellMar>
          <w:tblLook w:val="04A0"/>
        </w:tblPrEx>
        <w:trPr>
          <w:trHeight w:val="290"/>
        </w:trPr>
        <w:tc>
          <w:tcPr>
            <w:tcW w:w="136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112B39" w:rsidRPr="00B96404" w:rsidP="00E537AB" w14:paraId="755738E9" w14:textId="77777777">
            <w:pPr>
              <w:rPr>
                <w:rFonts w:cs="Open Sans"/>
                <w:color w:val="000000"/>
                <w:szCs w:val="20"/>
              </w:rPr>
            </w:pPr>
            <w:r w:rsidRPr="00B96404">
              <w:rPr>
                <w:rFonts w:cs="Open Sans"/>
                <w:color w:val="000000"/>
                <w:szCs w:val="20"/>
              </w:rPr>
              <w:t>Kommunenr</w:t>
            </w:r>
            <w:r w:rsidRPr="00B96404">
              <w:rPr>
                <w:rFonts w:cs="Open Sans"/>
                <w:color w:val="000000"/>
                <w:szCs w:val="20"/>
              </w:rPr>
              <w:t xml:space="preserve"> </w:t>
            </w:r>
          </w:p>
        </w:tc>
        <w:tc>
          <w:tcPr>
            <w:tcW w:w="1760" w:type="dxa"/>
            <w:tcBorders>
              <w:top w:val="single" w:sz="4" w:space="0" w:color="auto"/>
              <w:left w:val="nil"/>
              <w:bottom w:val="single" w:sz="4" w:space="0" w:color="auto"/>
              <w:right w:val="single" w:sz="4" w:space="0" w:color="auto"/>
            </w:tcBorders>
            <w:shd w:val="clear" w:color="000000" w:fill="C6E0B4"/>
            <w:noWrap/>
            <w:vAlign w:val="bottom"/>
            <w:hideMark/>
          </w:tcPr>
          <w:p w:rsidR="00112B39" w:rsidRPr="00B96404" w:rsidP="00E537AB" w14:paraId="2E2F2A46" w14:textId="77777777">
            <w:pPr>
              <w:rPr>
                <w:rFonts w:cs="Open Sans"/>
                <w:color w:val="000000"/>
                <w:szCs w:val="20"/>
              </w:rPr>
            </w:pPr>
            <w:r w:rsidRPr="00B96404">
              <w:rPr>
                <w:rFonts w:cs="Open Sans"/>
                <w:color w:val="000000"/>
                <w:szCs w:val="20"/>
              </w:rPr>
              <w:t>Kommune</w:t>
            </w:r>
          </w:p>
        </w:tc>
        <w:tc>
          <w:tcPr>
            <w:tcW w:w="2120" w:type="dxa"/>
            <w:tcBorders>
              <w:top w:val="single" w:sz="4" w:space="0" w:color="auto"/>
              <w:left w:val="nil"/>
              <w:bottom w:val="single" w:sz="4" w:space="0" w:color="auto"/>
              <w:right w:val="single" w:sz="4" w:space="0" w:color="auto"/>
            </w:tcBorders>
            <w:shd w:val="clear" w:color="000000" w:fill="C6E0B4"/>
            <w:noWrap/>
            <w:vAlign w:val="bottom"/>
            <w:hideMark/>
          </w:tcPr>
          <w:p w:rsidR="00112B39" w:rsidRPr="00B96404" w:rsidP="00E537AB" w14:paraId="62757AFF" w14:textId="77777777">
            <w:pPr>
              <w:rPr>
                <w:rFonts w:cs="Open Sans"/>
                <w:color w:val="000000"/>
                <w:szCs w:val="20"/>
              </w:rPr>
            </w:pPr>
            <w:r w:rsidRPr="00B96404">
              <w:rPr>
                <w:rFonts w:cs="Open Sans"/>
                <w:color w:val="000000"/>
                <w:szCs w:val="20"/>
              </w:rPr>
              <w:t>Tildeling 2023</w:t>
            </w:r>
          </w:p>
        </w:tc>
      </w:tr>
      <w:tr w14:paraId="514DEFC1"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22ADB939" w14:textId="77777777">
            <w:pPr>
              <w:jc w:val="right"/>
              <w:rPr>
                <w:rFonts w:cs="Open Sans"/>
                <w:color w:val="000000"/>
                <w:szCs w:val="20"/>
              </w:rPr>
            </w:pPr>
            <w:r w:rsidRPr="00B96404">
              <w:rPr>
                <w:rFonts w:cs="Open Sans"/>
                <w:color w:val="000000"/>
                <w:szCs w:val="20"/>
              </w:rPr>
              <w:t>5001</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DA79007" w14:textId="77777777">
            <w:pPr>
              <w:rPr>
                <w:rFonts w:cs="Open Sans"/>
                <w:color w:val="000000"/>
                <w:szCs w:val="20"/>
              </w:rPr>
            </w:pPr>
            <w:r w:rsidRPr="00B96404">
              <w:rPr>
                <w:rFonts w:cs="Open Sans"/>
                <w:color w:val="000000"/>
                <w:szCs w:val="20"/>
              </w:rPr>
              <w:t>Trondheim</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04D51F5" w14:textId="77777777">
            <w:pPr>
              <w:jc w:val="right"/>
              <w:rPr>
                <w:rFonts w:cs="Open Sans"/>
                <w:color w:val="000000"/>
                <w:szCs w:val="20"/>
              </w:rPr>
            </w:pPr>
            <w:r w:rsidRPr="00B96404">
              <w:rPr>
                <w:rFonts w:cs="Open Sans"/>
                <w:color w:val="000000"/>
                <w:szCs w:val="20"/>
              </w:rPr>
              <w:t>30 000</w:t>
            </w:r>
          </w:p>
        </w:tc>
      </w:tr>
      <w:tr w14:paraId="6B044AAB"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5F3B174" w14:textId="77777777">
            <w:pPr>
              <w:jc w:val="right"/>
              <w:rPr>
                <w:rFonts w:cs="Open Sans"/>
                <w:color w:val="000000"/>
                <w:szCs w:val="20"/>
              </w:rPr>
            </w:pPr>
            <w:r w:rsidRPr="00B96404">
              <w:rPr>
                <w:rFonts w:cs="Open Sans"/>
                <w:color w:val="000000"/>
                <w:szCs w:val="20"/>
              </w:rPr>
              <w:t>5006</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0EB9005" w14:textId="77777777">
            <w:pPr>
              <w:rPr>
                <w:rFonts w:cs="Open Sans"/>
                <w:color w:val="000000"/>
                <w:szCs w:val="20"/>
              </w:rPr>
            </w:pPr>
            <w:r w:rsidRPr="00B96404">
              <w:rPr>
                <w:rFonts w:cs="Open Sans"/>
                <w:color w:val="000000"/>
                <w:szCs w:val="20"/>
              </w:rPr>
              <w:t>Steinkjer</w:t>
            </w:r>
          </w:p>
        </w:tc>
        <w:tc>
          <w:tcPr>
            <w:tcW w:w="2120" w:type="dxa"/>
            <w:tcBorders>
              <w:top w:val="nil"/>
              <w:left w:val="nil"/>
              <w:bottom w:val="single" w:sz="4" w:space="0" w:color="auto"/>
              <w:right w:val="single" w:sz="4" w:space="0" w:color="auto"/>
            </w:tcBorders>
            <w:shd w:val="clear" w:color="000000" w:fill="D9E1F2"/>
            <w:noWrap/>
            <w:vAlign w:val="bottom"/>
            <w:hideMark/>
          </w:tcPr>
          <w:p w:rsidR="00112B39" w:rsidRPr="00B96404" w:rsidP="00E537AB" w14:paraId="48010AB3" w14:textId="77777777">
            <w:pPr>
              <w:jc w:val="right"/>
              <w:rPr>
                <w:rFonts w:cs="Open Sans"/>
                <w:color w:val="000000"/>
                <w:szCs w:val="20"/>
              </w:rPr>
            </w:pPr>
            <w:r w:rsidRPr="00B96404">
              <w:rPr>
                <w:rFonts w:cs="Open Sans"/>
                <w:color w:val="000000"/>
                <w:szCs w:val="20"/>
              </w:rPr>
              <w:t>410 000*</w:t>
            </w:r>
          </w:p>
        </w:tc>
      </w:tr>
      <w:tr w14:paraId="3EB1BB0F"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EB17391" w14:textId="77777777">
            <w:pPr>
              <w:jc w:val="right"/>
              <w:rPr>
                <w:rFonts w:cs="Open Sans"/>
                <w:color w:val="000000"/>
                <w:szCs w:val="20"/>
              </w:rPr>
            </w:pPr>
            <w:r w:rsidRPr="00B96404">
              <w:rPr>
                <w:rFonts w:cs="Open Sans"/>
                <w:color w:val="000000"/>
                <w:szCs w:val="20"/>
              </w:rPr>
              <w:t>5007</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8AB3574" w14:textId="77777777">
            <w:pPr>
              <w:rPr>
                <w:rFonts w:cs="Open Sans"/>
                <w:color w:val="000000"/>
                <w:szCs w:val="20"/>
              </w:rPr>
            </w:pPr>
            <w:r w:rsidRPr="00B96404">
              <w:rPr>
                <w:rFonts w:cs="Open Sans"/>
                <w:color w:val="000000"/>
                <w:szCs w:val="20"/>
              </w:rPr>
              <w:t>Namsos</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B2E6A52" w14:textId="77777777">
            <w:pPr>
              <w:jc w:val="right"/>
              <w:rPr>
                <w:rFonts w:cs="Open Sans"/>
                <w:color w:val="000000"/>
                <w:szCs w:val="20"/>
              </w:rPr>
            </w:pPr>
            <w:r w:rsidRPr="00B96404">
              <w:rPr>
                <w:rFonts w:cs="Open Sans"/>
                <w:color w:val="000000"/>
                <w:szCs w:val="20"/>
              </w:rPr>
              <w:t>30 000</w:t>
            </w:r>
          </w:p>
        </w:tc>
      </w:tr>
      <w:tr w14:paraId="509D39E0"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4361FE3F" w14:textId="77777777">
            <w:pPr>
              <w:jc w:val="right"/>
              <w:rPr>
                <w:rFonts w:cs="Open Sans"/>
                <w:color w:val="000000"/>
                <w:szCs w:val="20"/>
              </w:rPr>
            </w:pPr>
            <w:r w:rsidRPr="00B96404">
              <w:rPr>
                <w:rFonts w:cs="Open Sans"/>
                <w:color w:val="000000"/>
                <w:szCs w:val="20"/>
              </w:rPr>
              <w:t>5014</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163A1E3" w14:textId="77777777">
            <w:pPr>
              <w:rPr>
                <w:rFonts w:cs="Open Sans"/>
                <w:color w:val="000000"/>
                <w:szCs w:val="20"/>
              </w:rPr>
            </w:pPr>
            <w:r w:rsidRPr="00B96404">
              <w:rPr>
                <w:rFonts w:cs="Open Sans"/>
                <w:color w:val="000000"/>
                <w:szCs w:val="20"/>
              </w:rPr>
              <w:t>Frøya</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64643A1" w14:textId="77777777">
            <w:pPr>
              <w:jc w:val="right"/>
              <w:rPr>
                <w:rFonts w:cs="Open Sans"/>
                <w:color w:val="000000"/>
                <w:szCs w:val="20"/>
              </w:rPr>
            </w:pPr>
            <w:r w:rsidRPr="00B96404">
              <w:rPr>
                <w:rFonts w:cs="Open Sans"/>
                <w:color w:val="000000"/>
                <w:szCs w:val="20"/>
              </w:rPr>
              <w:t>50 000</w:t>
            </w:r>
          </w:p>
        </w:tc>
      </w:tr>
      <w:tr w14:paraId="56552DC7"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AC21DAB" w14:textId="77777777">
            <w:pPr>
              <w:jc w:val="right"/>
              <w:rPr>
                <w:rFonts w:cs="Open Sans"/>
                <w:color w:val="000000"/>
                <w:szCs w:val="20"/>
              </w:rPr>
            </w:pPr>
            <w:r w:rsidRPr="00B96404">
              <w:rPr>
                <w:rFonts w:cs="Open Sans"/>
                <w:color w:val="000000"/>
                <w:szCs w:val="20"/>
              </w:rPr>
              <w:t>5020</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3F8F40D" w14:textId="77777777">
            <w:pPr>
              <w:rPr>
                <w:rFonts w:cs="Open Sans"/>
                <w:color w:val="000000"/>
                <w:szCs w:val="20"/>
              </w:rPr>
            </w:pPr>
            <w:r w:rsidRPr="00B96404">
              <w:rPr>
                <w:rFonts w:cs="Open Sans"/>
                <w:color w:val="000000"/>
                <w:szCs w:val="20"/>
              </w:rPr>
              <w:t>Osen</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0B762C6" w14:textId="77777777">
            <w:pPr>
              <w:jc w:val="right"/>
              <w:rPr>
                <w:rFonts w:cs="Open Sans"/>
                <w:color w:val="000000"/>
                <w:szCs w:val="20"/>
              </w:rPr>
            </w:pPr>
            <w:r w:rsidRPr="00B96404">
              <w:rPr>
                <w:rFonts w:cs="Open Sans"/>
                <w:color w:val="000000"/>
                <w:szCs w:val="20"/>
              </w:rPr>
              <w:t>30 000</w:t>
            </w:r>
          </w:p>
        </w:tc>
      </w:tr>
      <w:tr w14:paraId="0638D389"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CCA220F" w14:textId="77777777">
            <w:pPr>
              <w:jc w:val="right"/>
              <w:rPr>
                <w:rFonts w:cs="Open Sans"/>
                <w:color w:val="000000"/>
                <w:szCs w:val="20"/>
              </w:rPr>
            </w:pPr>
            <w:r w:rsidRPr="00B96404">
              <w:rPr>
                <w:rFonts w:cs="Open Sans"/>
                <w:color w:val="000000"/>
                <w:szCs w:val="20"/>
              </w:rPr>
              <w:t>5021</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189491B" w14:textId="77777777">
            <w:pPr>
              <w:rPr>
                <w:rFonts w:cs="Open Sans"/>
                <w:color w:val="000000"/>
                <w:szCs w:val="20"/>
              </w:rPr>
            </w:pPr>
            <w:r w:rsidRPr="00B96404">
              <w:rPr>
                <w:rFonts w:cs="Open Sans"/>
                <w:color w:val="000000"/>
                <w:szCs w:val="20"/>
              </w:rPr>
              <w:t>Oppdal</w:t>
            </w:r>
          </w:p>
        </w:tc>
        <w:tc>
          <w:tcPr>
            <w:tcW w:w="2120" w:type="dxa"/>
            <w:tcBorders>
              <w:top w:val="nil"/>
              <w:left w:val="nil"/>
              <w:bottom w:val="single" w:sz="4" w:space="0" w:color="auto"/>
              <w:right w:val="single" w:sz="4" w:space="0" w:color="auto"/>
            </w:tcBorders>
            <w:shd w:val="clear" w:color="000000" w:fill="D9E1F2"/>
            <w:noWrap/>
            <w:vAlign w:val="bottom"/>
            <w:hideMark/>
          </w:tcPr>
          <w:p w:rsidR="00112B39" w:rsidRPr="00B96404" w:rsidP="00E537AB" w14:paraId="5AC6585D" w14:textId="77777777">
            <w:pPr>
              <w:jc w:val="right"/>
              <w:rPr>
                <w:rFonts w:cs="Open Sans"/>
                <w:color w:val="000000"/>
                <w:szCs w:val="20"/>
              </w:rPr>
            </w:pPr>
            <w:r w:rsidRPr="00B96404">
              <w:rPr>
                <w:rFonts w:cs="Open Sans"/>
                <w:color w:val="000000"/>
                <w:szCs w:val="20"/>
              </w:rPr>
              <w:t>750 000*</w:t>
            </w:r>
          </w:p>
        </w:tc>
      </w:tr>
      <w:tr w14:paraId="3EBAD38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4D17E9E3" w14:textId="77777777">
            <w:pPr>
              <w:jc w:val="right"/>
              <w:rPr>
                <w:rFonts w:cs="Open Sans"/>
                <w:color w:val="000000"/>
                <w:szCs w:val="20"/>
              </w:rPr>
            </w:pPr>
            <w:r w:rsidRPr="00B96404">
              <w:rPr>
                <w:rFonts w:cs="Open Sans"/>
                <w:color w:val="000000"/>
                <w:szCs w:val="20"/>
              </w:rPr>
              <w:t>5022</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9748F5E" w14:textId="77777777">
            <w:pPr>
              <w:rPr>
                <w:rFonts w:cs="Open Sans"/>
                <w:color w:val="000000"/>
                <w:szCs w:val="20"/>
              </w:rPr>
            </w:pPr>
            <w:r w:rsidRPr="00B96404">
              <w:rPr>
                <w:rFonts w:cs="Open Sans"/>
                <w:color w:val="000000"/>
                <w:szCs w:val="20"/>
              </w:rPr>
              <w:t>Rennebu</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7ACE42F" w14:textId="600B9CF5">
            <w:pPr>
              <w:jc w:val="right"/>
              <w:rPr>
                <w:rFonts w:cs="Open Sans"/>
                <w:color w:val="000000"/>
                <w:szCs w:val="20"/>
              </w:rPr>
            </w:pPr>
            <w:r w:rsidRPr="00B96404">
              <w:rPr>
                <w:rFonts w:cs="Open Sans"/>
                <w:color w:val="000000"/>
                <w:szCs w:val="20"/>
              </w:rPr>
              <w:t>300</w:t>
            </w:r>
            <w:r>
              <w:rPr>
                <w:rFonts w:cs="Open Sans"/>
                <w:color w:val="000000"/>
                <w:szCs w:val="20"/>
              </w:rPr>
              <w:t xml:space="preserve"> </w:t>
            </w:r>
            <w:r w:rsidRPr="00B96404">
              <w:rPr>
                <w:rFonts w:cs="Open Sans"/>
                <w:color w:val="000000"/>
                <w:szCs w:val="20"/>
              </w:rPr>
              <w:t>000</w:t>
            </w:r>
          </w:p>
        </w:tc>
      </w:tr>
      <w:tr w14:paraId="310EB42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20512CEC" w14:textId="77777777">
            <w:pPr>
              <w:jc w:val="right"/>
              <w:rPr>
                <w:rFonts w:cs="Open Sans"/>
                <w:color w:val="000000"/>
                <w:szCs w:val="20"/>
              </w:rPr>
            </w:pPr>
            <w:r w:rsidRPr="00B96404">
              <w:rPr>
                <w:rFonts w:cs="Open Sans"/>
                <w:color w:val="000000"/>
                <w:szCs w:val="20"/>
              </w:rPr>
              <w:t>5025</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5351586" w14:textId="77777777">
            <w:pPr>
              <w:rPr>
                <w:rFonts w:cs="Open Sans"/>
                <w:color w:val="000000"/>
                <w:szCs w:val="20"/>
              </w:rPr>
            </w:pPr>
            <w:r w:rsidRPr="00B96404">
              <w:rPr>
                <w:rFonts w:cs="Open Sans"/>
                <w:color w:val="000000"/>
                <w:szCs w:val="20"/>
              </w:rPr>
              <w:t>Røros</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087B3EF" w14:textId="77777777">
            <w:pPr>
              <w:jc w:val="right"/>
              <w:rPr>
                <w:rFonts w:cs="Open Sans"/>
                <w:color w:val="000000"/>
                <w:szCs w:val="20"/>
              </w:rPr>
            </w:pPr>
            <w:r w:rsidRPr="00B96404">
              <w:rPr>
                <w:rFonts w:cs="Open Sans"/>
                <w:color w:val="000000"/>
                <w:szCs w:val="20"/>
              </w:rPr>
              <w:t>180 000</w:t>
            </w:r>
          </w:p>
        </w:tc>
      </w:tr>
      <w:tr w14:paraId="6BCA83A9"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C21742A" w14:textId="77777777">
            <w:pPr>
              <w:jc w:val="right"/>
              <w:rPr>
                <w:rFonts w:cs="Open Sans"/>
                <w:color w:val="000000"/>
                <w:szCs w:val="20"/>
              </w:rPr>
            </w:pPr>
            <w:r w:rsidRPr="00B96404">
              <w:rPr>
                <w:rFonts w:cs="Open Sans"/>
                <w:color w:val="000000"/>
                <w:szCs w:val="20"/>
              </w:rPr>
              <w:t>5026</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A7233BE" w14:textId="77777777">
            <w:pPr>
              <w:rPr>
                <w:rFonts w:cs="Open Sans"/>
                <w:color w:val="000000"/>
                <w:szCs w:val="20"/>
              </w:rPr>
            </w:pPr>
            <w:r w:rsidRPr="00B96404">
              <w:rPr>
                <w:rFonts w:cs="Open Sans"/>
                <w:color w:val="000000"/>
                <w:szCs w:val="20"/>
              </w:rPr>
              <w:t>Holtålen</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A37DA9D" w14:textId="77777777">
            <w:pPr>
              <w:jc w:val="right"/>
              <w:rPr>
                <w:rFonts w:cs="Open Sans"/>
                <w:color w:val="000000"/>
                <w:szCs w:val="20"/>
              </w:rPr>
            </w:pPr>
            <w:r w:rsidRPr="00B96404">
              <w:rPr>
                <w:rFonts w:cs="Open Sans"/>
                <w:color w:val="000000"/>
                <w:szCs w:val="20"/>
              </w:rPr>
              <w:t>100 000</w:t>
            </w:r>
          </w:p>
        </w:tc>
      </w:tr>
      <w:tr w14:paraId="1A89F98F"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5329E74D" w14:textId="77777777">
            <w:pPr>
              <w:jc w:val="right"/>
              <w:rPr>
                <w:rFonts w:cs="Open Sans"/>
                <w:color w:val="000000"/>
                <w:szCs w:val="20"/>
              </w:rPr>
            </w:pPr>
            <w:r w:rsidRPr="00B96404">
              <w:rPr>
                <w:rFonts w:cs="Open Sans"/>
                <w:color w:val="000000"/>
                <w:szCs w:val="20"/>
              </w:rPr>
              <w:t>5027</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99B4706" w14:textId="77777777">
            <w:pPr>
              <w:rPr>
                <w:rFonts w:cs="Open Sans"/>
                <w:color w:val="000000"/>
                <w:szCs w:val="20"/>
              </w:rPr>
            </w:pPr>
            <w:r w:rsidRPr="00B96404">
              <w:rPr>
                <w:rFonts w:cs="Open Sans"/>
                <w:color w:val="000000"/>
                <w:szCs w:val="20"/>
              </w:rPr>
              <w:t>Midtre Gauldal</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50060B0" w14:textId="77777777">
            <w:pPr>
              <w:jc w:val="right"/>
              <w:rPr>
                <w:rFonts w:cs="Open Sans"/>
                <w:color w:val="000000"/>
                <w:szCs w:val="20"/>
              </w:rPr>
            </w:pPr>
            <w:r w:rsidRPr="00B96404">
              <w:rPr>
                <w:rFonts w:cs="Open Sans"/>
                <w:color w:val="000000"/>
                <w:szCs w:val="20"/>
              </w:rPr>
              <w:t>400 000</w:t>
            </w:r>
          </w:p>
        </w:tc>
      </w:tr>
      <w:tr w14:paraId="7DA8AA7E"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A37B093" w14:textId="77777777">
            <w:pPr>
              <w:jc w:val="right"/>
              <w:rPr>
                <w:rFonts w:cs="Open Sans"/>
                <w:color w:val="000000"/>
                <w:szCs w:val="20"/>
              </w:rPr>
            </w:pPr>
            <w:r w:rsidRPr="00B96404">
              <w:rPr>
                <w:rFonts w:cs="Open Sans"/>
                <w:color w:val="000000"/>
                <w:szCs w:val="20"/>
              </w:rPr>
              <w:t>5028</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57DD823" w14:textId="77777777">
            <w:pPr>
              <w:rPr>
                <w:rFonts w:cs="Open Sans"/>
                <w:color w:val="000000"/>
                <w:szCs w:val="20"/>
              </w:rPr>
            </w:pPr>
            <w:r w:rsidRPr="00B96404">
              <w:rPr>
                <w:rFonts w:cs="Open Sans"/>
                <w:color w:val="000000"/>
                <w:szCs w:val="20"/>
              </w:rPr>
              <w:t>Melhus</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7D97D4C" w14:textId="77777777">
            <w:pPr>
              <w:jc w:val="right"/>
              <w:rPr>
                <w:rFonts w:cs="Open Sans"/>
                <w:color w:val="000000"/>
                <w:szCs w:val="20"/>
              </w:rPr>
            </w:pPr>
            <w:r w:rsidRPr="00B96404">
              <w:rPr>
                <w:rFonts w:cs="Open Sans"/>
                <w:color w:val="000000"/>
                <w:szCs w:val="20"/>
              </w:rPr>
              <w:t>160 000</w:t>
            </w:r>
          </w:p>
        </w:tc>
      </w:tr>
      <w:tr w14:paraId="47C9E58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4AA19477" w14:textId="77777777">
            <w:pPr>
              <w:jc w:val="right"/>
              <w:rPr>
                <w:rFonts w:cs="Open Sans"/>
                <w:color w:val="000000"/>
                <w:szCs w:val="20"/>
              </w:rPr>
            </w:pPr>
            <w:r w:rsidRPr="00B96404">
              <w:rPr>
                <w:rFonts w:cs="Open Sans"/>
                <w:color w:val="000000"/>
                <w:szCs w:val="20"/>
              </w:rPr>
              <w:t>5029</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33C97A44" w14:textId="77777777">
            <w:pPr>
              <w:rPr>
                <w:rFonts w:cs="Open Sans"/>
                <w:color w:val="000000"/>
                <w:szCs w:val="20"/>
              </w:rPr>
            </w:pPr>
            <w:r w:rsidRPr="00B96404">
              <w:rPr>
                <w:rFonts w:cs="Open Sans"/>
                <w:color w:val="000000"/>
                <w:szCs w:val="20"/>
              </w:rPr>
              <w:t>Skaun</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53643ECB" w14:textId="77777777">
            <w:pPr>
              <w:jc w:val="right"/>
              <w:rPr>
                <w:rFonts w:cs="Open Sans"/>
                <w:color w:val="000000"/>
                <w:szCs w:val="20"/>
              </w:rPr>
            </w:pPr>
            <w:r w:rsidRPr="00B96404">
              <w:rPr>
                <w:rFonts w:cs="Open Sans"/>
                <w:color w:val="000000"/>
                <w:szCs w:val="20"/>
              </w:rPr>
              <w:t>70 000</w:t>
            </w:r>
          </w:p>
        </w:tc>
      </w:tr>
      <w:tr w14:paraId="301FF3D5"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27769E6B" w14:textId="77777777">
            <w:pPr>
              <w:jc w:val="right"/>
              <w:rPr>
                <w:rFonts w:cs="Open Sans"/>
                <w:color w:val="000000"/>
                <w:szCs w:val="20"/>
              </w:rPr>
            </w:pPr>
            <w:r w:rsidRPr="00B96404">
              <w:rPr>
                <w:rFonts w:cs="Open Sans"/>
                <w:color w:val="000000"/>
                <w:szCs w:val="20"/>
              </w:rPr>
              <w:t>5031</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CA841D2" w14:textId="77777777">
            <w:pPr>
              <w:rPr>
                <w:rFonts w:cs="Open Sans"/>
                <w:color w:val="000000"/>
                <w:szCs w:val="20"/>
              </w:rPr>
            </w:pPr>
            <w:r w:rsidRPr="00B96404">
              <w:rPr>
                <w:rFonts w:cs="Open Sans"/>
                <w:color w:val="000000"/>
                <w:szCs w:val="20"/>
              </w:rPr>
              <w:t>Malvik</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DF1CBB0" w14:textId="77777777">
            <w:pPr>
              <w:jc w:val="right"/>
              <w:rPr>
                <w:rFonts w:cs="Open Sans"/>
                <w:color w:val="000000"/>
                <w:szCs w:val="20"/>
              </w:rPr>
            </w:pPr>
            <w:r w:rsidRPr="00B96404">
              <w:rPr>
                <w:rFonts w:cs="Open Sans"/>
                <w:color w:val="000000"/>
                <w:szCs w:val="20"/>
              </w:rPr>
              <w:t>60 000</w:t>
            </w:r>
          </w:p>
        </w:tc>
      </w:tr>
      <w:tr w14:paraId="366EF3CF"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54DA0480" w14:textId="77777777">
            <w:pPr>
              <w:jc w:val="right"/>
              <w:rPr>
                <w:rFonts w:cs="Open Sans"/>
                <w:color w:val="000000"/>
                <w:szCs w:val="20"/>
              </w:rPr>
            </w:pPr>
            <w:r w:rsidRPr="00B96404">
              <w:rPr>
                <w:rFonts w:cs="Open Sans"/>
                <w:color w:val="000000"/>
                <w:szCs w:val="20"/>
              </w:rPr>
              <w:t>5032</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AEB7F56" w14:textId="77777777">
            <w:pPr>
              <w:rPr>
                <w:rFonts w:cs="Open Sans"/>
                <w:color w:val="000000"/>
                <w:szCs w:val="20"/>
              </w:rPr>
            </w:pPr>
            <w:r w:rsidRPr="00B96404">
              <w:rPr>
                <w:rFonts w:cs="Open Sans"/>
                <w:color w:val="000000"/>
                <w:szCs w:val="20"/>
              </w:rPr>
              <w:t>Selbu</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780E21B" w14:textId="77777777">
            <w:pPr>
              <w:jc w:val="right"/>
              <w:rPr>
                <w:rFonts w:cs="Open Sans"/>
                <w:color w:val="000000"/>
                <w:szCs w:val="20"/>
              </w:rPr>
            </w:pPr>
            <w:r w:rsidRPr="00B96404">
              <w:rPr>
                <w:rFonts w:cs="Open Sans"/>
                <w:color w:val="000000"/>
                <w:szCs w:val="20"/>
              </w:rPr>
              <w:t>300 000</w:t>
            </w:r>
          </w:p>
        </w:tc>
      </w:tr>
      <w:tr w14:paraId="7A49E311"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598C2969" w14:textId="77777777">
            <w:pPr>
              <w:jc w:val="right"/>
              <w:rPr>
                <w:rFonts w:cs="Open Sans"/>
                <w:color w:val="000000"/>
                <w:szCs w:val="20"/>
              </w:rPr>
            </w:pPr>
            <w:r w:rsidRPr="00B96404">
              <w:rPr>
                <w:rFonts w:cs="Open Sans"/>
                <w:color w:val="000000"/>
                <w:szCs w:val="20"/>
              </w:rPr>
              <w:t>5033</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11D797B" w14:textId="77777777">
            <w:pPr>
              <w:rPr>
                <w:rFonts w:cs="Open Sans"/>
                <w:color w:val="000000"/>
                <w:szCs w:val="20"/>
              </w:rPr>
            </w:pPr>
            <w:r w:rsidRPr="00B96404">
              <w:rPr>
                <w:rFonts w:cs="Open Sans"/>
                <w:color w:val="000000"/>
                <w:szCs w:val="20"/>
              </w:rPr>
              <w:t>Tydal</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2CA69CF" w14:textId="77777777">
            <w:pPr>
              <w:jc w:val="right"/>
              <w:rPr>
                <w:rFonts w:cs="Open Sans"/>
                <w:color w:val="000000"/>
                <w:szCs w:val="20"/>
              </w:rPr>
            </w:pPr>
            <w:r w:rsidRPr="00B96404">
              <w:rPr>
                <w:rFonts w:cs="Open Sans"/>
                <w:color w:val="000000"/>
                <w:szCs w:val="20"/>
              </w:rPr>
              <w:t>100 000</w:t>
            </w:r>
          </w:p>
        </w:tc>
      </w:tr>
      <w:tr w14:paraId="2CBF2A28"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7F98FE34" w14:textId="77777777">
            <w:pPr>
              <w:jc w:val="right"/>
              <w:rPr>
                <w:rFonts w:cs="Open Sans"/>
                <w:color w:val="000000"/>
                <w:szCs w:val="20"/>
              </w:rPr>
            </w:pPr>
            <w:r w:rsidRPr="00B96404">
              <w:rPr>
                <w:rFonts w:cs="Open Sans"/>
                <w:color w:val="000000"/>
                <w:szCs w:val="20"/>
              </w:rPr>
              <w:t>5034</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B5D1AFC" w14:textId="77777777">
            <w:pPr>
              <w:rPr>
                <w:rFonts w:cs="Open Sans"/>
                <w:color w:val="000000"/>
                <w:szCs w:val="20"/>
              </w:rPr>
            </w:pPr>
            <w:r w:rsidRPr="00B96404">
              <w:rPr>
                <w:rFonts w:cs="Open Sans"/>
                <w:color w:val="000000"/>
                <w:szCs w:val="20"/>
              </w:rPr>
              <w:t>Meråker</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DE10665" w14:textId="77777777">
            <w:pPr>
              <w:jc w:val="right"/>
              <w:rPr>
                <w:rFonts w:cs="Open Sans"/>
                <w:color w:val="000000"/>
                <w:szCs w:val="20"/>
              </w:rPr>
            </w:pPr>
            <w:r w:rsidRPr="00B96404">
              <w:rPr>
                <w:rFonts w:cs="Open Sans"/>
                <w:color w:val="000000"/>
                <w:szCs w:val="20"/>
              </w:rPr>
              <w:t>150 000</w:t>
            </w:r>
          </w:p>
        </w:tc>
      </w:tr>
      <w:tr w14:paraId="465E8AE2"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CC115BA" w14:textId="77777777">
            <w:pPr>
              <w:jc w:val="right"/>
              <w:rPr>
                <w:rFonts w:cs="Open Sans"/>
                <w:color w:val="000000"/>
                <w:szCs w:val="20"/>
              </w:rPr>
            </w:pPr>
            <w:r w:rsidRPr="00B96404">
              <w:rPr>
                <w:rFonts w:cs="Open Sans"/>
                <w:color w:val="000000"/>
                <w:szCs w:val="20"/>
              </w:rPr>
              <w:t>5035</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566B4833" w14:textId="77777777">
            <w:pPr>
              <w:rPr>
                <w:rFonts w:cs="Open Sans"/>
                <w:color w:val="000000"/>
                <w:szCs w:val="20"/>
              </w:rPr>
            </w:pPr>
            <w:r w:rsidRPr="00B96404">
              <w:rPr>
                <w:rFonts w:cs="Open Sans"/>
                <w:color w:val="000000"/>
                <w:szCs w:val="20"/>
              </w:rPr>
              <w:t>Stjørdal</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CBDBF3D" w14:textId="77777777">
            <w:pPr>
              <w:jc w:val="right"/>
              <w:rPr>
                <w:rFonts w:cs="Open Sans"/>
                <w:color w:val="000000"/>
                <w:szCs w:val="20"/>
              </w:rPr>
            </w:pPr>
            <w:r w:rsidRPr="00B96404">
              <w:rPr>
                <w:rFonts w:cs="Open Sans"/>
                <w:color w:val="000000"/>
                <w:szCs w:val="20"/>
              </w:rPr>
              <w:t>200 000</w:t>
            </w:r>
          </w:p>
        </w:tc>
      </w:tr>
      <w:tr w14:paraId="2C37677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402E688" w14:textId="77777777">
            <w:pPr>
              <w:jc w:val="right"/>
              <w:rPr>
                <w:rFonts w:cs="Open Sans"/>
                <w:color w:val="000000"/>
                <w:szCs w:val="20"/>
              </w:rPr>
            </w:pPr>
            <w:r w:rsidRPr="00B96404">
              <w:rPr>
                <w:rFonts w:cs="Open Sans"/>
                <w:color w:val="000000"/>
                <w:szCs w:val="20"/>
              </w:rPr>
              <w:t>5037</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E52AE7E" w14:textId="77777777">
            <w:pPr>
              <w:rPr>
                <w:rFonts w:cs="Open Sans"/>
                <w:color w:val="000000"/>
                <w:szCs w:val="20"/>
              </w:rPr>
            </w:pPr>
            <w:r w:rsidRPr="00B96404">
              <w:rPr>
                <w:rFonts w:cs="Open Sans"/>
                <w:color w:val="000000"/>
                <w:szCs w:val="20"/>
              </w:rPr>
              <w:t>Levanger</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4FD15BA" w14:textId="77777777">
            <w:pPr>
              <w:jc w:val="right"/>
              <w:rPr>
                <w:rFonts w:cs="Open Sans"/>
                <w:color w:val="000000"/>
                <w:szCs w:val="20"/>
              </w:rPr>
            </w:pPr>
            <w:r w:rsidRPr="00B96404">
              <w:rPr>
                <w:rFonts w:cs="Open Sans"/>
                <w:color w:val="000000"/>
                <w:szCs w:val="20"/>
              </w:rPr>
              <w:t>120 000</w:t>
            </w:r>
          </w:p>
        </w:tc>
      </w:tr>
      <w:tr w14:paraId="5D240FD4"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64886963" w14:textId="77777777">
            <w:pPr>
              <w:jc w:val="right"/>
              <w:rPr>
                <w:rFonts w:cs="Open Sans"/>
                <w:color w:val="000000"/>
                <w:szCs w:val="20"/>
              </w:rPr>
            </w:pPr>
            <w:r w:rsidRPr="00B96404">
              <w:rPr>
                <w:rFonts w:cs="Open Sans"/>
                <w:color w:val="000000"/>
                <w:szCs w:val="20"/>
              </w:rPr>
              <w:t>5038</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03FE729" w14:textId="77777777">
            <w:pPr>
              <w:rPr>
                <w:rFonts w:cs="Open Sans"/>
                <w:color w:val="000000"/>
                <w:szCs w:val="20"/>
              </w:rPr>
            </w:pPr>
            <w:r w:rsidRPr="00B96404">
              <w:rPr>
                <w:rFonts w:cs="Open Sans"/>
                <w:color w:val="000000"/>
                <w:szCs w:val="20"/>
              </w:rPr>
              <w:t>Verdal</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E93F4D4" w14:textId="77777777">
            <w:pPr>
              <w:jc w:val="right"/>
              <w:rPr>
                <w:rFonts w:cs="Open Sans"/>
                <w:color w:val="000000"/>
                <w:szCs w:val="20"/>
              </w:rPr>
            </w:pPr>
            <w:r w:rsidRPr="00B96404">
              <w:rPr>
                <w:rFonts w:cs="Open Sans"/>
                <w:color w:val="000000"/>
                <w:szCs w:val="20"/>
              </w:rPr>
              <w:t>200 000</w:t>
            </w:r>
          </w:p>
        </w:tc>
      </w:tr>
      <w:tr w14:paraId="70D81634"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4B80154D" w14:textId="77777777">
            <w:pPr>
              <w:jc w:val="right"/>
              <w:rPr>
                <w:rFonts w:cs="Open Sans"/>
                <w:color w:val="000000"/>
                <w:szCs w:val="20"/>
              </w:rPr>
            </w:pPr>
            <w:r w:rsidRPr="00B96404">
              <w:rPr>
                <w:rFonts w:cs="Open Sans"/>
                <w:color w:val="000000"/>
                <w:szCs w:val="20"/>
              </w:rPr>
              <w:t>5041</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BBE0A49" w14:textId="77777777">
            <w:pPr>
              <w:rPr>
                <w:rFonts w:cs="Open Sans"/>
                <w:color w:val="000000"/>
                <w:szCs w:val="20"/>
              </w:rPr>
            </w:pPr>
            <w:r w:rsidRPr="00B96404">
              <w:rPr>
                <w:rFonts w:cs="Open Sans"/>
                <w:color w:val="000000"/>
                <w:szCs w:val="20"/>
              </w:rPr>
              <w:t>Snåsa</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49D47CC" w14:textId="77777777">
            <w:pPr>
              <w:jc w:val="right"/>
              <w:rPr>
                <w:rFonts w:cs="Open Sans"/>
                <w:color w:val="000000"/>
                <w:szCs w:val="20"/>
              </w:rPr>
            </w:pPr>
            <w:r w:rsidRPr="00B96404">
              <w:rPr>
                <w:rFonts w:cs="Open Sans"/>
                <w:color w:val="000000"/>
                <w:szCs w:val="20"/>
              </w:rPr>
              <w:t>80 000</w:t>
            </w:r>
          </w:p>
        </w:tc>
      </w:tr>
      <w:tr w14:paraId="7C8BB5B9"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2CD8B277" w14:textId="77777777">
            <w:pPr>
              <w:jc w:val="right"/>
              <w:rPr>
                <w:rFonts w:cs="Open Sans"/>
                <w:color w:val="000000"/>
                <w:szCs w:val="20"/>
              </w:rPr>
            </w:pPr>
            <w:r w:rsidRPr="00B96404">
              <w:rPr>
                <w:rFonts w:cs="Open Sans"/>
                <w:color w:val="000000"/>
                <w:szCs w:val="20"/>
              </w:rPr>
              <w:t>5042</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0435686" w14:textId="77777777">
            <w:pPr>
              <w:rPr>
                <w:rFonts w:cs="Open Sans"/>
                <w:color w:val="000000"/>
                <w:szCs w:val="20"/>
              </w:rPr>
            </w:pPr>
            <w:r w:rsidRPr="00B96404">
              <w:rPr>
                <w:rFonts w:cs="Open Sans"/>
                <w:color w:val="000000"/>
                <w:szCs w:val="20"/>
              </w:rPr>
              <w:t>Lierne</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25B1D9D" w14:textId="77777777">
            <w:pPr>
              <w:jc w:val="right"/>
              <w:rPr>
                <w:rFonts w:cs="Open Sans"/>
                <w:color w:val="000000"/>
                <w:szCs w:val="20"/>
              </w:rPr>
            </w:pPr>
            <w:r w:rsidRPr="00B96404">
              <w:rPr>
                <w:rFonts w:cs="Open Sans"/>
                <w:color w:val="000000"/>
                <w:szCs w:val="20"/>
              </w:rPr>
              <w:t>50 000</w:t>
            </w:r>
          </w:p>
        </w:tc>
      </w:tr>
      <w:tr w14:paraId="6D153C1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6C76210" w14:textId="77777777">
            <w:pPr>
              <w:jc w:val="right"/>
              <w:rPr>
                <w:rFonts w:cs="Open Sans"/>
                <w:color w:val="000000"/>
                <w:szCs w:val="20"/>
              </w:rPr>
            </w:pPr>
            <w:r w:rsidRPr="00B96404">
              <w:rPr>
                <w:rFonts w:cs="Open Sans"/>
                <w:color w:val="000000"/>
                <w:szCs w:val="20"/>
              </w:rPr>
              <w:t>5043</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A09C0EC" w14:textId="77777777">
            <w:pPr>
              <w:rPr>
                <w:rFonts w:cs="Open Sans"/>
                <w:color w:val="000000"/>
                <w:szCs w:val="20"/>
              </w:rPr>
            </w:pPr>
            <w:r w:rsidRPr="00B96404">
              <w:rPr>
                <w:rFonts w:cs="Open Sans"/>
                <w:color w:val="000000"/>
                <w:szCs w:val="20"/>
              </w:rPr>
              <w:t>Røyrvik</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33B1804" w14:textId="77777777">
            <w:pPr>
              <w:jc w:val="right"/>
              <w:rPr>
                <w:rFonts w:cs="Open Sans"/>
                <w:color w:val="000000"/>
                <w:szCs w:val="20"/>
              </w:rPr>
            </w:pPr>
            <w:r w:rsidRPr="00B96404">
              <w:rPr>
                <w:rFonts w:cs="Open Sans"/>
                <w:color w:val="000000"/>
                <w:szCs w:val="20"/>
              </w:rPr>
              <w:t>30 000</w:t>
            </w:r>
          </w:p>
        </w:tc>
      </w:tr>
      <w:tr w14:paraId="73311A5D"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62AE90F2" w14:textId="77777777">
            <w:pPr>
              <w:jc w:val="right"/>
              <w:rPr>
                <w:rFonts w:cs="Open Sans"/>
                <w:color w:val="000000"/>
                <w:szCs w:val="20"/>
              </w:rPr>
            </w:pPr>
            <w:r w:rsidRPr="00B96404">
              <w:rPr>
                <w:rFonts w:cs="Open Sans"/>
                <w:color w:val="000000"/>
                <w:szCs w:val="20"/>
              </w:rPr>
              <w:t>5044</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5DFB916B" w14:textId="77777777">
            <w:pPr>
              <w:rPr>
                <w:rFonts w:cs="Open Sans"/>
                <w:color w:val="000000"/>
                <w:szCs w:val="20"/>
              </w:rPr>
            </w:pPr>
            <w:r w:rsidRPr="00B96404">
              <w:rPr>
                <w:rFonts w:cs="Open Sans"/>
                <w:color w:val="000000"/>
                <w:szCs w:val="20"/>
              </w:rPr>
              <w:t>Namsskogan</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706993B" w14:textId="77777777">
            <w:pPr>
              <w:jc w:val="right"/>
              <w:rPr>
                <w:rFonts w:cs="Open Sans"/>
                <w:color w:val="000000"/>
                <w:szCs w:val="20"/>
              </w:rPr>
            </w:pPr>
            <w:r w:rsidRPr="00B96404">
              <w:rPr>
                <w:rFonts w:cs="Open Sans"/>
                <w:color w:val="000000"/>
                <w:szCs w:val="20"/>
              </w:rPr>
              <w:t>30 000</w:t>
            </w:r>
          </w:p>
        </w:tc>
      </w:tr>
      <w:tr w14:paraId="4E67D99D"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DCD48E3" w14:textId="77777777">
            <w:pPr>
              <w:jc w:val="right"/>
              <w:rPr>
                <w:rFonts w:cs="Open Sans"/>
                <w:color w:val="000000"/>
                <w:szCs w:val="20"/>
              </w:rPr>
            </w:pPr>
            <w:r w:rsidRPr="00B96404">
              <w:rPr>
                <w:rFonts w:cs="Open Sans"/>
                <w:color w:val="000000"/>
                <w:szCs w:val="20"/>
              </w:rPr>
              <w:t>5045</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77203E9" w14:textId="77777777">
            <w:pPr>
              <w:rPr>
                <w:rFonts w:cs="Open Sans"/>
                <w:color w:val="000000"/>
                <w:szCs w:val="20"/>
              </w:rPr>
            </w:pPr>
            <w:r w:rsidRPr="00B96404">
              <w:rPr>
                <w:rFonts w:cs="Open Sans"/>
                <w:color w:val="000000"/>
                <w:szCs w:val="20"/>
              </w:rPr>
              <w:t>Grong</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3C0CB426" w14:textId="77777777">
            <w:pPr>
              <w:jc w:val="right"/>
              <w:rPr>
                <w:rFonts w:cs="Open Sans"/>
                <w:color w:val="000000"/>
                <w:szCs w:val="20"/>
              </w:rPr>
            </w:pPr>
            <w:r w:rsidRPr="00B96404">
              <w:rPr>
                <w:rFonts w:cs="Open Sans"/>
                <w:color w:val="000000"/>
                <w:szCs w:val="20"/>
              </w:rPr>
              <w:t>70 000</w:t>
            </w:r>
          </w:p>
        </w:tc>
      </w:tr>
      <w:tr w14:paraId="17030C6C"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011444A4" w14:textId="77777777">
            <w:pPr>
              <w:jc w:val="right"/>
              <w:rPr>
                <w:rFonts w:cs="Open Sans"/>
                <w:color w:val="000000"/>
                <w:szCs w:val="20"/>
              </w:rPr>
            </w:pPr>
            <w:r w:rsidRPr="00B96404">
              <w:rPr>
                <w:rFonts w:cs="Open Sans"/>
                <w:color w:val="000000"/>
                <w:szCs w:val="20"/>
              </w:rPr>
              <w:t>5046</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199EA93" w14:textId="77777777">
            <w:pPr>
              <w:rPr>
                <w:rFonts w:cs="Open Sans"/>
                <w:color w:val="000000"/>
                <w:szCs w:val="20"/>
              </w:rPr>
            </w:pPr>
            <w:r w:rsidRPr="00B96404">
              <w:rPr>
                <w:rFonts w:cs="Open Sans"/>
                <w:color w:val="000000"/>
                <w:szCs w:val="20"/>
              </w:rPr>
              <w:t>Høylandet</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8C8B637" w14:textId="77777777">
            <w:pPr>
              <w:jc w:val="right"/>
              <w:rPr>
                <w:rFonts w:cs="Open Sans"/>
                <w:color w:val="000000"/>
                <w:szCs w:val="20"/>
              </w:rPr>
            </w:pPr>
            <w:r w:rsidRPr="00B96404">
              <w:rPr>
                <w:rFonts w:cs="Open Sans"/>
                <w:color w:val="000000"/>
                <w:szCs w:val="20"/>
              </w:rPr>
              <w:t>70 000</w:t>
            </w:r>
          </w:p>
        </w:tc>
      </w:tr>
      <w:tr w14:paraId="07D95C30"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6B004B6B" w14:textId="77777777">
            <w:pPr>
              <w:jc w:val="right"/>
              <w:rPr>
                <w:rFonts w:cs="Open Sans"/>
                <w:color w:val="000000"/>
                <w:szCs w:val="20"/>
              </w:rPr>
            </w:pPr>
            <w:r w:rsidRPr="00B96404">
              <w:rPr>
                <w:rFonts w:cs="Open Sans"/>
                <w:color w:val="000000"/>
                <w:szCs w:val="20"/>
              </w:rPr>
              <w:t>5047</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55A33D9" w14:textId="77777777">
            <w:pPr>
              <w:rPr>
                <w:rFonts w:cs="Open Sans"/>
                <w:color w:val="000000"/>
                <w:szCs w:val="20"/>
              </w:rPr>
            </w:pPr>
            <w:r w:rsidRPr="00B96404">
              <w:rPr>
                <w:rFonts w:cs="Open Sans"/>
                <w:color w:val="000000"/>
                <w:szCs w:val="20"/>
              </w:rPr>
              <w:t>Overhalla</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083B591" w14:textId="77777777">
            <w:pPr>
              <w:jc w:val="right"/>
              <w:rPr>
                <w:rFonts w:cs="Open Sans"/>
                <w:color w:val="000000"/>
                <w:szCs w:val="20"/>
              </w:rPr>
            </w:pPr>
            <w:r w:rsidRPr="00B96404">
              <w:rPr>
                <w:rFonts w:cs="Open Sans"/>
                <w:color w:val="000000"/>
                <w:szCs w:val="20"/>
              </w:rPr>
              <w:t>130 000</w:t>
            </w:r>
          </w:p>
        </w:tc>
      </w:tr>
      <w:tr w14:paraId="1A961B4F"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8B24F1E" w14:textId="77777777">
            <w:pPr>
              <w:jc w:val="right"/>
              <w:rPr>
                <w:rFonts w:cs="Open Sans"/>
                <w:color w:val="000000"/>
                <w:szCs w:val="20"/>
              </w:rPr>
            </w:pPr>
            <w:r w:rsidRPr="00B96404">
              <w:rPr>
                <w:rFonts w:cs="Open Sans"/>
                <w:color w:val="000000"/>
                <w:szCs w:val="20"/>
              </w:rPr>
              <w:t>5049</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2B91F5C9" w14:textId="77777777">
            <w:pPr>
              <w:rPr>
                <w:rFonts w:cs="Open Sans"/>
                <w:color w:val="000000"/>
                <w:szCs w:val="20"/>
              </w:rPr>
            </w:pPr>
            <w:r w:rsidRPr="00B96404">
              <w:rPr>
                <w:rFonts w:cs="Open Sans"/>
                <w:color w:val="000000"/>
                <w:szCs w:val="20"/>
              </w:rPr>
              <w:t>Flatanger</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98EE93A" w14:textId="77777777">
            <w:pPr>
              <w:jc w:val="right"/>
              <w:rPr>
                <w:rFonts w:cs="Open Sans"/>
                <w:color w:val="000000"/>
                <w:szCs w:val="20"/>
              </w:rPr>
            </w:pPr>
            <w:r w:rsidRPr="00B96404">
              <w:rPr>
                <w:rFonts w:cs="Open Sans"/>
                <w:color w:val="000000"/>
                <w:szCs w:val="20"/>
              </w:rPr>
              <w:t>50 000</w:t>
            </w:r>
          </w:p>
        </w:tc>
      </w:tr>
      <w:tr w14:paraId="6D10D085"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0BA252E2" w14:textId="77777777">
            <w:pPr>
              <w:jc w:val="right"/>
              <w:rPr>
                <w:rFonts w:cs="Open Sans"/>
                <w:color w:val="000000"/>
                <w:szCs w:val="20"/>
              </w:rPr>
            </w:pPr>
            <w:r w:rsidRPr="00B96404">
              <w:rPr>
                <w:rFonts w:cs="Open Sans"/>
                <w:color w:val="000000"/>
                <w:szCs w:val="20"/>
              </w:rPr>
              <w:t>5052</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D526FE1" w14:textId="77777777">
            <w:pPr>
              <w:rPr>
                <w:rFonts w:cs="Open Sans"/>
                <w:color w:val="000000"/>
                <w:szCs w:val="20"/>
              </w:rPr>
            </w:pPr>
            <w:r w:rsidRPr="00B96404">
              <w:rPr>
                <w:rFonts w:cs="Open Sans"/>
                <w:color w:val="000000"/>
                <w:szCs w:val="20"/>
              </w:rPr>
              <w:t>Leka</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E9B0B65" w14:textId="77777777">
            <w:pPr>
              <w:jc w:val="right"/>
              <w:rPr>
                <w:rFonts w:cs="Open Sans"/>
                <w:color w:val="000000"/>
                <w:szCs w:val="20"/>
              </w:rPr>
            </w:pPr>
            <w:r w:rsidRPr="00B96404">
              <w:rPr>
                <w:rFonts w:cs="Open Sans"/>
                <w:color w:val="000000"/>
                <w:szCs w:val="20"/>
              </w:rPr>
              <w:t>50 000</w:t>
            </w:r>
          </w:p>
        </w:tc>
      </w:tr>
      <w:tr w14:paraId="18C27AEE"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391C6C50" w14:textId="77777777">
            <w:pPr>
              <w:jc w:val="right"/>
              <w:rPr>
                <w:rFonts w:cs="Open Sans"/>
                <w:color w:val="000000"/>
                <w:szCs w:val="20"/>
              </w:rPr>
            </w:pPr>
            <w:r w:rsidRPr="00B96404">
              <w:rPr>
                <w:rFonts w:cs="Open Sans"/>
                <w:color w:val="000000"/>
                <w:szCs w:val="20"/>
              </w:rPr>
              <w:t>5053</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274056B" w14:textId="77777777">
            <w:pPr>
              <w:rPr>
                <w:rFonts w:cs="Open Sans"/>
                <w:color w:val="000000"/>
                <w:szCs w:val="20"/>
              </w:rPr>
            </w:pPr>
            <w:r w:rsidRPr="00B96404">
              <w:rPr>
                <w:rFonts w:cs="Open Sans"/>
                <w:color w:val="000000"/>
                <w:szCs w:val="20"/>
              </w:rPr>
              <w:t>Inderøy</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080090DF" w14:textId="77777777">
            <w:pPr>
              <w:jc w:val="right"/>
              <w:rPr>
                <w:rFonts w:cs="Open Sans"/>
                <w:color w:val="000000"/>
                <w:szCs w:val="20"/>
              </w:rPr>
            </w:pPr>
            <w:r w:rsidRPr="00B96404">
              <w:rPr>
                <w:rFonts w:cs="Open Sans"/>
                <w:color w:val="000000"/>
                <w:szCs w:val="20"/>
              </w:rPr>
              <w:t>100000</w:t>
            </w:r>
          </w:p>
        </w:tc>
      </w:tr>
      <w:tr w14:paraId="23F354E0"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77F2AD9C" w14:textId="77777777">
            <w:pPr>
              <w:jc w:val="right"/>
              <w:rPr>
                <w:rFonts w:cs="Open Sans"/>
                <w:color w:val="000000"/>
                <w:szCs w:val="20"/>
              </w:rPr>
            </w:pPr>
            <w:r w:rsidRPr="00B96404">
              <w:rPr>
                <w:rFonts w:cs="Open Sans"/>
                <w:color w:val="000000"/>
                <w:szCs w:val="20"/>
              </w:rPr>
              <w:t>5054</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33FB3FDF" w14:textId="77777777">
            <w:pPr>
              <w:rPr>
                <w:rFonts w:cs="Open Sans"/>
                <w:color w:val="000000"/>
                <w:szCs w:val="20"/>
              </w:rPr>
            </w:pPr>
            <w:r w:rsidRPr="00B96404">
              <w:rPr>
                <w:rFonts w:cs="Open Sans"/>
                <w:color w:val="000000"/>
                <w:szCs w:val="20"/>
              </w:rPr>
              <w:t>Indre Fosen</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8CE0DC7" w14:textId="77777777">
            <w:pPr>
              <w:jc w:val="right"/>
              <w:rPr>
                <w:rFonts w:cs="Open Sans"/>
                <w:color w:val="000000"/>
                <w:szCs w:val="20"/>
              </w:rPr>
            </w:pPr>
            <w:r w:rsidRPr="00B96404">
              <w:rPr>
                <w:rFonts w:cs="Open Sans"/>
                <w:color w:val="000000"/>
                <w:szCs w:val="20"/>
              </w:rPr>
              <w:t>250000</w:t>
            </w:r>
          </w:p>
        </w:tc>
      </w:tr>
      <w:tr w14:paraId="2EA3FE6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490BD716" w14:textId="77777777">
            <w:pPr>
              <w:jc w:val="right"/>
              <w:rPr>
                <w:rFonts w:cs="Open Sans"/>
                <w:color w:val="000000"/>
                <w:szCs w:val="20"/>
              </w:rPr>
            </w:pPr>
            <w:r w:rsidRPr="00B96404">
              <w:rPr>
                <w:rFonts w:cs="Open Sans"/>
                <w:color w:val="000000"/>
                <w:szCs w:val="20"/>
              </w:rPr>
              <w:t>5055</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66474C4B" w14:textId="77777777">
            <w:pPr>
              <w:rPr>
                <w:rFonts w:cs="Open Sans"/>
                <w:color w:val="000000"/>
                <w:szCs w:val="20"/>
              </w:rPr>
            </w:pPr>
            <w:r w:rsidRPr="00B96404">
              <w:rPr>
                <w:rFonts w:cs="Open Sans"/>
                <w:color w:val="000000"/>
                <w:szCs w:val="20"/>
              </w:rPr>
              <w:t>Heim</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5846C943" w14:textId="77777777">
            <w:pPr>
              <w:jc w:val="right"/>
              <w:rPr>
                <w:rFonts w:cs="Open Sans"/>
                <w:color w:val="000000"/>
                <w:szCs w:val="20"/>
              </w:rPr>
            </w:pPr>
            <w:r w:rsidRPr="00B96404">
              <w:rPr>
                <w:rFonts w:cs="Open Sans"/>
                <w:color w:val="000000"/>
                <w:szCs w:val="20"/>
              </w:rPr>
              <w:t>50 000</w:t>
            </w:r>
          </w:p>
        </w:tc>
      </w:tr>
      <w:tr w14:paraId="078544AF"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6462D6C8" w14:textId="77777777">
            <w:pPr>
              <w:jc w:val="right"/>
              <w:rPr>
                <w:rFonts w:cs="Open Sans"/>
                <w:color w:val="000000"/>
                <w:szCs w:val="20"/>
              </w:rPr>
            </w:pPr>
            <w:r w:rsidRPr="00B96404">
              <w:rPr>
                <w:rFonts w:cs="Open Sans"/>
                <w:color w:val="000000"/>
                <w:szCs w:val="20"/>
              </w:rPr>
              <w:t>5056</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3ED6A70D" w14:textId="77777777">
            <w:pPr>
              <w:rPr>
                <w:rFonts w:cs="Open Sans"/>
                <w:color w:val="000000"/>
                <w:szCs w:val="20"/>
              </w:rPr>
            </w:pPr>
            <w:r w:rsidRPr="00B96404">
              <w:rPr>
                <w:rFonts w:cs="Open Sans"/>
                <w:color w:val="000000"/>
                <w:szCs w:val="20"/>
              </w:rPr>
              <w:t>Hitra</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BD362E2" w14:textId="77777777">
            <w:pPr>
              <w:jc w:val="right"/>
              <w:rPr>
                <w:rFonts w:cs="Open Sans"/>
                <w:color w:val="000000"/>
                <w:szCs w:val="20"/>
              </w:rPr>
            </w:pPr>
            <w:r w:rsidRPr="00B96404">
              <w:rPr>
                <w:rFonts w:cs="Open Sans"/>
                <w:color w:val="000000"/>
                <w:szCs w:val="20"/>
              </w:rPr>
              <w:t>50 000</w:t>
            </w:r>
          </w:p>
        </w:tc>
      </w:tr>
      <w:tr w14:paraId="218F4324"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EA8931E" w14:textId="77777777">
            <w:pPr>
              <w:jc w:val="right"/>
              <w:rPr>
                <w:rFonts w:cs="Open Sans"/>
                <w:color w:val="000000"/>
                <w:szCs w:val="20"/>
              </w:rPr>
            </w:pPr>
            <w:r w:rsidRPr="00B96404">
              <w:rPr>
                <w:rFonts w:cs="Open Sans"/>
                <w:color w:val="000000"/>
                <w:szCs w:val="20"/>
              </w:rPr>
              <w:t>5057</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4209973" w14:textId="77777777">
            <w:pPr>
              <w:rPr>
                <w:rFonts w:cs="Open Sans"/>
                <w:color w:val="000000"/>
                <w:szCs w:val="20"/>
              </w:rPr>
            </w:pPr>
            <w:r w:rsidRPr="00B96404">
              <w:rPr>
                <w:rFonts w:cs="Open Sans"/>
                <w:color w:val="000000"/>
                <w:szCs w:val="20"/>
              </w:rPr>
              <w:t>Ørland</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31ABA96B" w14:textId="77777777">
            <w:pPr>
              <w:jc w:val="right"/>
              <w:rPr>
                <w:rFonts w:cs="Open Sans"/>
                <w:color w:val="000000"/>
                <w:szCs w:val="20"/>
              </w:rPr>
            </w:pPr>
            <w:r w:rsidRPr="00B96404">
              <w:rPr>
                <w:rFonts w:cs="Open Sans"/>
                <w:color w:val="000000"/>
                <w:szCs w:val="20"/>
              </w:rPr>
              <w:t>50 000</w:t>
            </w:r>
          </w:p>
        </w:tc>
      </w:tr>
      <w:tr w14:paraId="7994C2C6"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00F8AAE" w14:textId="77777777">
            <w:pPr>
              <w:jc w:val="right"/>
              <w:rPr>
                <w:rFonts w:cs="Open Sans"/>
                <w:color w:val="000000"/>
                <w:szCs w:val="20"/>
              </w:rPr>
            </w:pPr>
            <w:r w:rsidRPr="00B96404">
              <w:rPr>
                <w:rFonts w:cs="Open Sans"/>
                <w:color w:val="000000"/>
                <w:szCs w:val="20"/>
              </w:rPr>
              <w:t>5058</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3F47FD71" w14:textId="77777777">
            <w:pPr>
              <w:rPr>
                <w:rFonts w:cs="Open Sans"/>
                <w:color w:val="000000"/>
                <w:szCs w:val="20"/>
              </w:rPr>
            </w:pPr>
            <w:r w:rsidRPr="00B96404">
              <w:rPr>
                <w:rFonts w:cs="Open Sans"/>
                <w:color w:val="000000"/>
                <w:szCs w:val="20"/>
              </w:rPr>
              <w:t>Åfjord</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47D2B5C9" w14:textId="77777777">
            <w:pPr>
              <w:jc w:val="right"/>
              <w:rPr>
                <w:rFonts w:cs="Open Sans"/>
                <w:color w:val="000000"/>
                <w:szCs w:val="20"/>
              </w:rPr>
            </w:pPr>
            <w:r w:rsidRPr="00B96404">
              <w:rPr>
                <w:rFonts w:cs="Open Sans"/>
                <w:color w:val="000000"/>
                <w:szCs w:val="20"/>
              </w:rPr>
              <w:t>250 000</w:t>
            </w:r>
          </w:p>
        </w:tc>
      </w:tr>
      <w:tr w14:paraId="0612161D"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5B010F34" w14:textId="77777777">
            <w:pPr>
              <w:jc w:val="right"/>
              <w:rPr>
                <w:rFonts w:cs="Open Sans"/>
                <w:color w:val="000000"/>
                <w:szCs w:val="20"/>
              </w:rPr>
            </w:pPr>
            <w:r w:rsidRPr="00B96404">
              <w:rPr>
                <w:rFonts w:cs="Open Sans"/>
                <w:color w:val="000000"/>
                <w:szCs w:val="20"/>
              </w:rPr>
              <w:t>5059</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52B11FAC" w14:textId="77777777">
            <w:pPr>
              <w:rPr>
                <w:rFonts w:cs="Open Sans"/>
                <w:color w:val="000000"/>
                <w:szCs w:val="20"/>
              </w:rPr>
            </w:pPr>
            <w:r w:rsidRPr="00B96404">
              <w:rPr>
                <w:rFonts w:cs="Open Sans"/>
                <w:color w:val="000000"/>
                <w:szCs w:val="20"/>
              </w:rPr>
              <w:t>Orkland</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018E4E5" w14:textId="77777777">
            <w:pPr>
              <w:jc w:val="right"/>
              <w:rPr>
                <w:rFonts w:cs="Open Sans"/>
                <w:color w:val="000000"/>
                <w:szCs w:val="20"/>
              </w:rPr>
            </w:pPr>
            <w:r w:rsidRPr="00B96404">
              <w:rPr>
                <w:rFonts w:cs="Open Sans"/>
                <w:color w:val="000000"/>
                <w:szCs w:val="20"/>
              </w:rPr>
              <w:t>30 000</w:t>
            </w:r>
          </w:p>
        </w:tc>
      </w:tr>
      <w:tr w14:paraId="7476E9E5"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7EE6FFD1" w14:textId="77777777">
            <w:pPr>
              <w:jc w:val="right"/>
              <w:rPr>
                <w:rFonts w:cs="Open Sans"/>
                <w:color w:val="000000"/>
                <w:szCs w:val="20"/>
              </w:rPr>
            </w:pPr>
            <w:r w:rsidRPr="00B96404">
              <w:rPr>
                <w:rFonts w:cs="Open Sans"/>
                <w:color w:val="000000"/>
                <w:szCs w:val="20"/>
              </w:rPr>
              <w:t>5060</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EF0F859" w14:textId="77777777">
            <w:pPr>
              <w:rPr>
                <w:rFonts w:cs="Open Sans"/>
                <w:color w:val="000000"/>
                <w:szCs w:val="20"/>
              </w:rPr>
            </w:pPr>
            <w:r w:rsidRPr="00B96404">
              <w:rPr>
                <w:rFonts w:cs="Open Sans"/>
                <w:color w:val="000000"/>
                <w:szCs w:val="20"/>
              </w:rPr>
              <w:t>Nærøysund</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D745F3F" w14:textId="77777777">
            <w:pPr>
              <w:jc w:val="right"/>
              <w:rPr>
                <w:rFonts w:cs="Open Sans"/>
                <w:color w:val="000000"/>
                <w:szCs w:val="20"/>
              </w:rPr>
            </w:pPr>
            <w:r w:rsidRPr="00B96404">
              <w:rPr>
                <w:rFonts w:cs="Open Sans"/>
                <w:color w:val="000000"/>
                <w:szCs w:val="20"/>
              </w:rPr>
              <w:t>30 000</w:t>
            </w:r>
          </w:p>
        </w:tc>
      </w:tr>
      <w:tr w14:paraId="34272663"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12B39" w:rsidRPr="00B96404" w:rsidP="00E537AB" w14:paraId="10F7F9B2" w14:textId="77777777">
            <w:pPr>
              <w:jc w:val="right"/>
              <w:rPr>
                <w:rFonts w:cs="Open Sans"/>
                <w:color w:val="000000"/>
                <w:szCs w:val="20"/>
              </w:rPr>
            </w:pPr>
            <w:r w:rsidRPr="00B96404">
              <w:rPr>
                <w:rFonts w:cs="Open Sans"/>
                <w:color w:val="000000"/>
                <w:szCs w:val="20"/>
              </w:rPr>
              <w:t>5061</w:t>
            </w:r>
          </w:p>
        </w:tc>
        <w:tc>
          <w:tcPr>
            <w:tcW w:w="176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1432CCC0" w14:textId="77777777">
            <w:pPr>
              <w:rPr>
                <w:rFonts w:cs="Open Sans"/>
                <w:color w:val="000000"/>
                <w:szCs w:val="20"/>
              </w:rPr>
            </w:pPr>
            <w:r w:rsidRPr="00B96404">
              <w:rPr>
                <w:rFonts w:cs="Open Sans"/>
                <w:color w:val="000000"/>
                <w:szCs w:val="20"/>
              </w:rPr>
              <w:t>Rindal</w:t>
            </w:r>
          </w:p>
        </w:tc>
        <w:tc>
          <w:tcPr>
            <w:tcW w:w="2120" w:type="dxa"/>
            <w:tcBorders>
              <w:top w:val="nil"/>
              <w:left w:val="nil"/>
              <w:bottom w:val="single" w:sz="4" w:space="0" w:color="auto"/>
              <w:right w:val="single" w:sz="4" w:space="0" w:color="auto"/>
            </w:tcBorders>
            <w:shd w:val="clear" w:color="auto" w:fill="auto"/>
            <w:noWrap/>
            <w:vAlign w:val="bottom"/>
            <w:hideMark/>
          </w:tcPr>
          <w:p w:rsidR="00112B39" w:rsidRPr="00B96404" w:rsidP="00E537AB" w14:paraId="7BE5A63B" w14:textId="77777777">
            <w:pPr>
              <w:jc w:val="right"/>
              <w:rPr>
                <w:rFonts w:cs="Open Sans"/>
                <w:color w:val="000000"/>
                <w:szCs w:val="20"/>
              </w:rPr>
            </w:pPr>
            <w:r w:rsidRPr="00B96404">
              <w:rPr>
                <w:rFonts w:cs="Open Sans"/>
                <w:color w:val="000000"/>
                <w:szCs w:val="20"/>
              </w:rPr>
              <w:t>50 000</w:t>
            </w:r>
          </w:p>
        </w:tc>
      </w:tr>
      <w:tr w14:paraId="07E357AB" w14:textId="77777777" w:rsidTr="00E537AB">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000000" w:fill="FFE699"/>
            <w:noWrap/>
            <w:vAlign w:val="bottom"/>
            <w:hideMark/>
          </w:tcPr>
          <w:p w:rsidR="00112B39" w:rsidRPr="00B96404" w:rsidP="00E537AB" w14:paraId="5CF86EAB" w14:textId="77777777">
            <w:pPr>
              <w:rPr>
                <w:rFonts w:cs="Open Sans"/>
                <w:color w:val="000000"/>
                <w:szCs w:val="20"/>
              </w:rPr>
            </w:pPr>
            <w:r w:rsidRPr="00B96404">
              <w:rPr>
                <w:rFonts w:cs="Open Sans"/>
                <w:color w:val="000000"/>
                <w:szCs w:val="20"/>
              </w:rPr>
              <w:t>Sum</w:t>
            </w:r>
          </w:p>
        </w:tc>
        <w:tc>
          <w:tcPr>
            <w:tcW w:w="1760" w:type="dxa"/>
            <w:tcBorders>
              <w:top w:val="nil"/>
              <w:left w:val="nil"/>
              <w:bottom w:val="single" w:sz="4" w:space="0" w:color="auto"/>
              <w:right w:val="single" w:sz="4" w:space="0" w:color="auto"/>
            </w:tcBorders>
            <w:shd w:val="clear" w:color="000000" w:fill="FFE699"/>
            <w:noWrap/>
            <w:vAlign w:val="bottom"/>
            <w:hideMark/>
          </w:tcPr>
          <w:p w:rsidR="00112B39" w:rsidRPr="00B96404" w:rsidP="00E537AB" w14:paraId="41BA73A2" w14:textId="77777777">
            <w:pPr>
              <w:rPr>
                <w:rFonts w:cs="Open Sans"/>
                <w:color w:val="000000"/>
                <w:szCs w:val="20"/>
              </w:rPr>
            </w:pPr>
            <w:r w:rsidRPr="00B96404">
              <w:rPr>
                <w:rFonts w:cs="Open Sans"/>
                <w:color w:val="000000"/>
                <w:szCs w:val="20"/>
              </w:rPr>
              <w:t> </w:t>
            </w:r>
          </w:p>
        </w:tc>
        <w:tc>
          <w:tcPr>
            <w:tcW w:w="2120" w:type="dxa"/>
            <w:tcBorders>
              <w:top w:val="nil"/>
              <w:left w:val="nil"/>
              <w:bottom w:val="single" w:sz="4" w:space="0" w:color="auto"/>
              <w:right w:val="single" w:sz="4" w:space="0" w:color="auto"/>
            </w:tcBorders>
            <w:shd w:val="clear" w:color="000000" w:fill="FFE699"/>
            <w:noWrap/>
            <w:vAlign w:val="bottom"/>
            <w:hideMark/>
          </w:tcPr>
          <w:p w:rsidR="00112B39" w:rsidRPr="00B96404" w:rsidP="00E537AB" w14:paraId="28F2DBB4" w14:textId="77777777">
            <w:pPr>
              <w:jc w:val="right"/>
              <w:rPr>
                <w:rFonts w:cs="Open Sans"/>
                <w:color w:val="000000"/>
                <w:szCs w:val="20"/>
              </w:rPr>
            </w:pPr>
            <w:r w:rsidRPr="00B96404">
              <w:rPr>
                <w:rFonts w:cs="Open Sans"/>
                <w:color w:val="000000"/>
                <w:szCs w:val="20"/>
              </w:rPr>
              <w:t>5 060 000</w:t>
            </w:r>
          </w:p>
        </w:tc>
      </w:tr>
    </w:tbl>
    <w:p w:rsidR="00083242" w:rsidRPr="00A96205" w:rsidP="00112B39" w14:paraId="2F03E15F" w14:textId="77777777">
      <w:pPr>
        <w:rPr>
          <w:rFonts w:cs="Open Sans"/>
          <w:szCs w:val="20"/>
        </w:rPr>
      </w:pPr>
    </w:p>
    <w:sectPr w:rsidSect="003B4C45">
      <w:headerReference w:type="default" r:id="rId12"/>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3B50DB6E"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4BF14BF8" w14:textId="77777777">
          <w:pPr>
            <w:pStyle w:val="Header"/>
          </w:pPr>
        </w:p>
      </w:tc>
      <w:tc>
        <w:tcPr>
          <w:tcW w:w="284" w:type="dxa"/>
        </w:tcPr>
        <w:p w:rsidR="00B67D60" w:rsidP="0092267D" w14:paraId="02FC5632" w14:textId="77777777">
          <w:pPr>
            <w:pStyle w:val="Header"/>
          </w:pPr>
        </w:p>
      </w:tc>
      <w:tc>
        <w:tcPr>
          <w:tcW w:w="4557" w:type="dxa"/>
        </w:tcPr>
        <w:p w:rsidR="00B67D60" w:rsidP="0092267D" w14:paraId="25835B43"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27FEDD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01B626B5"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7F31A3" w:rsidP="0092267D" w14:paraId="7C9997A7" w14:textId="77777777">
          <w:pPr>
            <w:pStyle w:val="Header"/>
          </w:pPr>
        </w:p>
      </w:tc>
      <w:tc>
        <w:tcPr>
          <w:tcW w:w="284" w:type="dxa"/>
        </w:tcPr>
        <w:p w:rsidR="007F31A3" w:rsidP="0092267D" w14:paraId="2B5BD7AE" w14:textId="77777777">
          <w:pPr>
            <w:pStyle w:val="Header"/>
          </w:pPr>
        </w:p>
      </w:tc>
      <w:tc>
        <w:tcPr>
          <w:tcW w:w="4557" w:type="dxa"/>
        </w:tcPr>
        <w:p w:rsidR="007F31A3" w:rsidP="0092267D" w14:paraId="7D6E0B58"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7F31A3" w14:paraId="43F7AB6C"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775E9"/>
    <w:multiLevelType w:val="hybridMultilevel"/>
    <w:tmpl w:val="CAD4C6D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3"/>
    <w:rsid w:val="0001421C"/>
    <w:rsid w:val="00027C59"/>
    <w:rsid w:val="00041213"/>
    <w:rsid w:val="00054275"/>
    <w:rsid w:val="0007227A"/>
    <w:rsid w:val="00081F4B"/>
    <w:rsid w:val="000821CE"/>
    <w:rsid w:val="00083242"/>
    <w:rsid w:val="0009096E"/>
    <w:rsid w:val="0009692E"/>
    <w:rsid w:val="000A3F53"/>
    <w:rsid w:val="000B5D53"/>
    <w:rsid w:val="000C70B4"/>
    <w:rsid w:val="000D3220"/>
    <w:rsid w:val="000D4F02"/>
    <w:rsid w:val="000E2395"/>
    <w:rsid w:val="001052AB"/>
    <w:rsid w:val="0010666E"/>
    <w:rsid w:val="00112B39"/>
    <w:rsid w:val="0012022B"/>
    <w:rsid w:val="00151F41"/>
    <w:rsid w:val="00152746"/>
    <w:rsid w:val="00161275"/>
    <w:rsid w:val="00167A3B"/>
    <w:rsid w:val="0017704E"/>
    <w:rsid w:val="0019532E"/>
    <w:rsid w:val="001B6B54"/>
    <w:rsid w:val="001C0547"/>
    <w:rsid w:val="001C6097"/>
    <w:rsid w:val="001E53C2"/>
    <w:rsid w:val="001F712E"/>
    <w:rsid w:val="00223F02"/>
    <w:rsid w:val="00226258"/>
    <w:rsid w:val="00227872"/>
    <w:rsid w:val="0023601E"/>
    <w:rsid w:val="00276761"/>
    <w:rsid w:val="00290030"/>
    <w:rsid w:val="00291491"/>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4C45"/>
    <w:rsid w:val="003C0A27"/>
    <w:rsid w:val="003D2116"/>
    <w:rsid w:val="003D3685"/>
    <w:rsid w:val="00401548"/>
    <w:rsid w:val="00402431"/>
    <w:rsid w:val="0043349A"/>
    <w:rsid w:val="004336EA"/>
    <w:rsid w:val="004401AF"/>
    <w:rsid w:val="00446BE4"/>
    <w:rsid w:val="00447716"/>
    <w:rsid w:val="00452B43"/>
    <w:rsid w:val="004612D0"/>
    <w:rsid w:val="00464529"/>
    <w:rsid w:val="004756CE"/>
    <w:rsid w:val="004768C5"/>
    <w:rsid w:val="00481BF4"/>
    <w:rsid w:val="00491E4C"/>
    <w:rsid w:val="00492781"/>
    <w:rsid w:val="004A5769"/>
    <w:rsid w:val="004B0A25"/>
    <w:rsid w:val="004B0F1A"/>
    <w:rsid w:val="004B70DA"/>
    <w:rsid w:val="004C0403"/>
    <w:rsid w:val="004F00C4"/>
    <w:rsid w:val="004F0A6B"/>
    <w:rsid w:val="004F6215"/>
    <w:rsid w:val="004F6362"/>
    <w:rsid w:val="005244E6"/>
    <w:rsid w:val="005262AD"/>
    <w:rsid w:val="005303D9"/>
    <w:rsid w:val="0053668D"/>
    <w:rsid w:val="0054339D"/>
    <w:rsid w:val="0057395D"/>
    <w:rsid w:val="005957AD"/>
    <w:rsid w:val="0059616E"/>
    <w:rsid w:val="005A2DD0"/>
    <w:rsid w:val="005B15F9"/>
    <w:rsid w:val="005B621A"/>
    <w:rsid w:val="005C4605"/>
    <w:rsid w:val="005D697D"/>
    <w:rsid w:val="005F0046"/>
    <w:rsid w:val="005F463D"/>
    <w:rsid w:val="006434E7"/>
    <w:rsid w:val="0067377A"/>
    <w:rsid w:val="00683A2A"/>
    <w:rsid w:val="006B4592"/>
    <w:rsid w:val="006D2D6B"/>
    <w:rsid w:val="006D6DE6"/>
    <w:rsid w:val="006F5364"/>
    <w:rsid w:val="007151FA"/>
    <w:rsid w:val="00726593"/>
    <w:rsid w:val="007412FF"/>
    <w:rsid w:val="00742E78"/>
    <w:rsid w:val="00750EDD"/>
    <w:rsid w:val="00767A5C"/>
    <w:rsid w:val="007B161A"/>
    <w:rsid w:val="007B6A54"/>
    <w:rsid w:val="007C39CD"/>
    <w:rsid w:val="007C6FE5"/>
    <w:rsid w:val="007D26E4"/>
    <w:rsid w:val="007D2CF7"/>
    <w:rsid w:val="007D7980"/>
    <w:rsid w:val="007E47E4"/>
    <w:rsid w:val="007E573C"/>
    <w:rsid w:val="007F31A3"/>
    <w:rsid w:val="007F4683"/>
    <w:rsid w:val="007F6A5E"/>
    <w:rsid w:val="008105A2"/>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E50A5"/>
    <w:rsid w:val="009163C4"/>
    <w:rsid w:val="0092055A"/>
    <w:rsid w:val="0092267D"/>
    <w:rsid w:val="00927029"/>
    <w:rsid w:val="00955A55"/>
    <w:rsid w:val="00991714"/>
    <w:rsid w:val="009A3E4D"/>
    <w:rsid w:val="009A6088"/>
    <w:rsid w:val="009B43A2"/>
    <w:rsid w:val="009D6A5C"/>
    <w:rsid w:val="009F59A3"/>
    <w:rsid w:val="00A1566C"/>
    <w:rsid w:val="00A2358C"/>
    <w:rsid w:val="00A23FF2"/>
    <w:rsid w:val="00A4573A"/>
    <w:rsid w:val="00A47724"/>
    <w:rsid w:val="00A47792"/>
    <w:rsid w:val="00A518B6"/>
    <w:rsid w:val="00A62C1B"/>
    <w:rsid w:val="00A676B0"/>
    <w:rsid w:val="00A81FDC"/>
    <w:rsid w:val="00A96205"/>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96404"/>
    <w:rsid w:val="00BB479B"/>
    <w:rsid w:val="00BE1E47"/>
    <w:rsid w:val="00BE73C1"/>
    <w:rsid w:val="00C03DBC"/>
    <w:rsid w:val="00C04FE9"/>
    <w:rsid w:val="00C146CA"/>
    <w:rsid w:val="00C26349"/>
    <w:rsid w:val="00C27259"/>
    <w:rsid w:val="00C35CAE"/>
    <w:rsid w:val="00C42FFC"/>
    <w:rsid w:val="00C5169C"/>
    <w:rsid w:val="00C61CC1"/>
    <w:rsid w:val="00C63A32"/>
    <w:rsid w:val="00CB3E20"/>
    <w:rsid w:val="00CD2FF5"/>
    <w:rsid w:val="00CE307F"/>
    <w:rsid w:val="00D053D0"/>
    <w:rsid w:val="00D15F7F"/>
    <w:rsid w:val="00D2429F"/>
    <w:rsid w:val="00D40496"/>
    <w:rsid w:val="00D614BF"/>
    <w:rsid w:val="00D764FD"/>
    <w:rsid w:val="00D76882"/>
    <w:rsid w:val="00D86658"/>
    <w:rsid w:val="00D9570E"/>
    <w:rsid w:val="00DA5254"/>
    <w:rsid w:val="00DB3FD8"/>
    <w:rsid w:val="00DB4BD3"/>
    <w:rsid w:val="00DE5303"/>
    <w:rsid w:val="00E03AAC"/>
    <w:rsid w:val="00E07265"/>
    <w:rsid w:val="00E12143"/>
    <w:rsid w:val="00E36F9A"/>
    <w:rsid w:val="00E537AB"/>
    <w:rsid w:val="00E612E5"/>
    <w:rsid w:val="00E61B5D"/>
    <w:rsid w:val="00E6504C"/>
    <w:rsid w:val="00E671FE"/>
    <w:rsid w:val="00EA213C"/>
    <w:rsid w:val="00EA2AD4"/>
    <w:rsid w:val="00EB5B6C"/>
    <w:rsid w:val="00EB5FCC"/>
    <w:rsid w:val="00ED0D91"/>
    <w:rsid w:val="00ED0DC2"/>
    <w:rsid w:val="00EE0986"/>
    <w:rsid w:val="00EE3013"/>
    <w:rsid w:val="00EF0C56"/>
    <w:rsid w:val="00EF23D6"/>
    <w:rsid w:val="00EF2C47"/>
    <w:rsid w:val="00F01261"/>
    <w:rsid w:val="00F22C69"/>
    <w:rsid w:val="00F3607F"/>
    <w:rsid w:val="00F4330E"/>
    <w:rsid w:val="00F4539B"/>
    <w:rsid w:val="00F50A91"/>
    <w:rsid w:val="00F936BE"/>
    <w:rsid w:val="00F94139"/>
    <w:rsid w:val="00FA600C"/>
    <w:rsid w:val="00FD01A0"/>
    <w:rsid w:val="00FE1685"/>
    <w:rsid w:val="00FE4E3D"/>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1F91124C"/>
  <w15:chartTrackingRefBased/>
  <w15:docId w15:val="{9168D538-A19F-4EC4-A7D2-A24D6EB5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character" w:customStyle="1" w:styleId="fontstyle01">
    <w:name w:val="fontstyle01"/>
    <w:basedOn w:val="DefaultParagraphFont"/>
    <w:rsid w:val="005262AD"/>
    <w:rPr>
      <w:rFonts w:ascii="Calibri" w:hAnsi="Calibri" w:cs="Calibri" w:hint="default"/>
      <w:b w:val="0"/>
      <w:bCs w:val="0"/>
      <w:i w:val="0"/>
      <w:iCs w:val="0"/>
      <w:color w:val="000000"/>
      <w:sz w:val="40"/>
      <w:szCs w:val="40"/>
    </w:rPr>
  </w:style>
  <w:style w:type="character" w:styleId="FollowedHyperlink">
    <w:name w:val="FollowedHyperlink"/>
    <w:basedOn w:val="DefaultParagraphFont"/>
    <w:uiPriority w:val="99"/>
    <w:semiHidden/>
    <w:unhideWhenUsed/>
    <w:rsid w:val="005262AD"/>
    <w:rPr>
      <w:color w:val="954F72" w:themeColor="followedHyperlink"/>
      <w:u w:val="single"/>
    </w:rPr>
  </w:style>
  <w:style w:type="paragraph" w:customStyle="1" w:styleId="paragraph">
    <w:name w:val="paragraph"/>
    <w:basedOn w:val="Normal"/>
    <w:rsid w:val="00112B3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spellingerror">
    <w:name w:val="spellingerror"/>
    <w:basedOn w:val="DefaultParagraphFont"/>
    <w:rsid w:val="00112B39"/>
  </w:style>
  <w:style w:type="character" w:customStyle="1" w:styleId="normaltextrun">
    <w:name w:val="normaltextrun"/>
    <w:basedOn w:val="DefaultParagraphFont"/>
    <w:rsid w:val="00112B39"/>
  </w:style>
  <w:style w:type="character" w:customStyle="1" w:styleId="eop">
    <w:name w:val="eop"/>
    <w:basedOn w:val="DefaultParagraphFont"/>
    <w:rsid w:val="0011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ndbruksdirektoratet.no/nb/forvaltning/veiledning-for-forvaltningen/agros--saksbehandling-roller-og-tilganger?resultId=3.0&amp;searchQuery=agros" TargetMode="External" /><Relationship Id="rId11" Type="http://schemas.openxmlformats.org/officeDocument/2006/relationships/hyperlink" Target="mailto:fmtlaly@statsforvalteren.no" TargetMode="Externa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yperlink" Target="http://www.landbruksdirektoratet.no" TargetMode="External" /><Relationship Id="rId8" Type="http://schemas.openxmlformats.org/officeDocument/2006/relationships/hyperlink" Target="https://www.landbruksdirektoratet.no/nb/forvaltning/alle-veivisere-for-jordbruk/tiltak-i-beiteomrader" TargetMode="External" /><Relationship Id="rId9" Type="http://schemas.openxmlformats.org/officeDocument/2006/relationships/hyperlink" Target="https://www.landbruksdirektoratet.no/nb/forvaltning/veiledning-for-forvaltningen/agros--saksbehandli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0DA8-C503-4273-BDCF-1ED94C6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2179</Words>
  <Characters>11551</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Alstad, Eva Dybwad</cp:lastModifiedBy>
  <cp:revision>9</cp:revision>
  <cp:lastPrinted>2018-11-29T13:44:00Z</cp:lastPrinted>
  <dcterms:created xsi:type="dcterms:W3CDTF">2019-01-01T17:32:00Z</dcterms:created>
  <dcterms:modified xsi:type="dcterms:W3CDTF">2023-02-13T15:52:00Z</dcterms:modified>
</cp:coreProperties>
</file>