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A58D6" w14:textId="55950E76" w:rsidR="001B27C4" w:rsidRPr="00A04403" w:rsidRDefault="001B27C4" w:rsidP="001B27C4">
      <w:pPr>
        <w:pStyle w:val="Sterktsitat"/>
        <w:rPr>
          <w:rFonts w:ascii="Open Sans" w:hAnsi="Open Sans" w:cs="Open Sans"/>
          <w:noProof/>
          <w:sz w:val="28"/>
          <w:szCs w:val="28"/>
        </w:rPr>
      </w:pPr>
      <w:r w:rsidRPr="00A04403">
        <w:rPr>
          <w:rFonts w:ascii="Open Sans" w:hAnsi="Open Sans" w:cs="Open Sans"/>
          <w:noProof/>
          <w:sz w:val="34"/>
          <w:szCs w:val="34"/>
        </w:rPr>
        <w:t>Langsiktig plan</w:t>
      </w:r>
      <w:r w:rsidRPr="00A04403">
        <w:rPr>
          <w:rFonts w:ascii="Open Sans" w:hAnsi="Open Sans" w:cs="Open Sans"/>
          <w:noProof/>
          <w:sz w:val="28"/>
          <w:szCs w:val="28"/>
        </w:rPr>
        <w:t xml:space="preserve"> </w:t>
      </w:r>
      <w:r w:rsidR="00557499" w:rsidRPr="00A04403">
        <w:rPr>
          <w:rFonts w:ascii="Open Sans" w:hAnsi="Open Sans" w:cs="Open Sans"/>
          <w:noProof/>
          <w:sz w:val="28"/>
          <w:szCs w:val="28"/>
        </w:rPr>
        <w:br/>
      </w:r>
      <w:r w:rsidR="00557499" w:rsidRPr="00A04403">
        <w:rPr>
          <w:rFonts w:ascii="Open Sans" w:hAnsi="Open Sans" w:cs="Open Sans"/>
          <w:noProof/>
          <w:sz w:val="28"/>
          <w:szCs w:val="28"/>
        </w:rPr>
        <w:br/>
      </w:r>
      <w:r w:rsidRPr="00A04403">
        <w:rPr>
          <w:rFonts w:ascii="Open Sans" w:hAnsi="Open Sans" w:cs="Open Sans"/>
          <w:noProof/>
          <w:sz w:val="28"/>
          <w:szCs w:val="28"/>
        </w:rPr>
        <w:t xml:space="preserve">for Dekom Trøndelag </w:t>
      </w:r>
    </w:p>
    <w:p w14:paraId="59C96D27" w14:textId="15AE7B1B" w:rsidR="001B27C4" w:rsidRPr="002947D9" w:rsidRDefault="002947D9" w:rsidP="003D3705">
      <w:pPr>
        <w:spacing w:after="0" w:line="240" w:lineRule="auto"/>
        <w:rPr>
          <w:rFonts w:ascii="Open Sans" w:hAnsi="Open Sans" w:cs="Open Sans"/>
          <w:noProof/>
        </w:rPr>
      </w:pPr>
      <w:r>
        <w:rPr>
          <w:rFonts w:ascii="Open Sans" w:hAnsi="Open Sans" w:cs="Open Sans"/>
          <w:i/>
          <w:iCs/>
          <w:noProof/>
        </w:rPr>
        <w:br/>
      </w:r>
      <w:r w:rsidR="00ED6AC8" w:rsidRPr="002947D9">
        <w:rPr>
          <w:rFonts w:ascii="Open Sans" w:hAnsi="Open Sans" w:cs="Open Sans"/>
          <w:i/>
          <w:iCs/>
          <w:noProof/>
        </w:rPr>
        <w:t>Hensikten med dette dokumentet er å skape forutsigbarhet for aktøre</w:t>
      </w:r>
      <w:r w:rsidR="00763F21">
        <w:rPr>
          <w:rFonts w:ascii="Open Sans" w:hAnsi="Open Sans" w:cs="Open Sans"/>
          <w:i/>
          <w:iCs/>
          <w:noProof/>
        </w:rPr>
        <w:t>r</w:t>
      </w:r>
      <w:r w:rsidR="00ED6AC8" w:rsidRPr="002947D9">
        <w:rPr>
          <w:rFonts w:ascii="Open Sans" w:hAnsi="Open Sans" w:cs="Open Sans"/>
          <w:i/>
          <w:iCs/>
          <w:noProof/>
        </w:rPr>
        <w:t xml:space="preserve"> i Trøndelag. Dokumentet berø</w:t>
      </w:r>
      <w:r w:rsidR="001F7EEE" w:rsidRPr="002947D9">
        <w:rPr>
          <w:rFonts w:ascii="Open Sans" w:hAnsi="Open Sans" w:cs="Open Sans"/>
          <w:i/>
          <w:iCs/>
          <w:noProof/>
        </w:rPr>
        <w:t>r</w:t>
      </w:r>
      <w:r w:rsidR="00ED6AC8" w:rsidRPr="002947D9">
        <w:rPr>
          <w:rFonts w:ascii="Open Sans" w:hAnsi="Open Sans" w:cs="Open Sans"/>
          <w:i/>
          <w:iCs/>
          <w:noProof/>
        </w:rPr>
        <w:t>er t</w:t>
      </w:r>
      <w:r w:rsidR="00BD04BB">
        <w:rPr>
          <w:rFonts w:ascii="Open Sans" w:hAnsi="Open Sans" w:cs="Open Sans"/>
          <w:i/>
          <w:iCs/>
          <w:noProof/>
        </w:rPr>
        <w:t>o</w:t>
      </w:r>
      <w:r w:rsidR="00ED6AC8" w:rsidRPr="002947D9">
        <w:rPr>
          <w:rFonts w:ascii="Open Sans" w:hAnsi="Open Sans" w:cs="Open Sans"/>
          <w:i/>
          <w:iCs/>
          <w:noProof/>
        </w:rPr>
        <w:t xml:space="preserve"> områder; prinsipper for fordeling av økonomi</w:t>
      </w:r>
      <w:r w:rsidR="00BD04BB">
        <w:rPr>
          <w:rFonts w:ascii="Open Sans" w:hAnsi="Open Sans" w:cs="Open Sans"/>
          <w:i/>
          <w:iCs/>
          <w:noProof/>
        </w:rPr>
        <w:t xml:space="preserve"> </w:t>
      </w:r>
      <w:r w:rsidR="00ED6AC8" w:rsidRPr="002947D9">
        <w:rPr>
          <w:rFonts w:ascii="Open Sans" w:hAnsi="Open Sans" w:cs="Open Sans"/>
          <w:i/>
          <w:iCs/>
          <w:noProof/>
        </w:rPr>
        <w:t>og planlagte fellestiltak for hele Trøndelag</w:t>
      </w:r>
      <w:r w:rsidR="00ED6AC8" w:rsidRPr="002947D9">
        <w:rPr>
          <w:rFonts w:ascii="Open Sans" w:hAnsi="Open Sans" w:cs="Open Sans"/>
          <w:noProof/>
        </w:rPr>
        <w:t>.</w:t>
      </w:r>
    </w:p>
    <w:p w14:paraId="7B0532FF" w14:textId="77777777" w:rsidR="00ED6AC8" w:rsidRPr="002947D9" w:rsidRDefault="00ED6AC8" w:rsidP="003D3705">
      <w:pPr>
        <w:spacing w:after="0" w:line="240" w:lineRule="auto"/>
        <w:rPr>
          <w:rFonts w:ascii="Open Sans" w:hAnsi="Open Sans" w:cs="Open Sans"/>
          <w:b/>
          <w:bCs/>
          <w:noProof/>
        </w:rPr>
      </w:pPr>
    </w:p>
    <w:p w14:paraId="355E6933" w14:textId="63449C5D" w:rsidR="00DD66AB" w:rsidRPr="002947D9" w:rsidRDefault="00ED6AC8" w:rsidP="00A065DE">
      <w:pPr>
        <w:spacing w:after="0" w:line="240" w:lineRule="auto"/>
        <w:rPr>
          <w:rFonts w:ascii="Open Sans" w:hAnsi="Open Sans" w:cs="Open Sans"/>
          <w:b/>
          <w:bCs/>
          <w:noProof/>
        </w:rPr>
      </w:pPr>
      <w:r w:rsidRPr="002947D9">
        <w:rPr>
          <w:rFonts w:ascii="Open Sans" w:hAnsi="Open Sans" w:cs="Open Sans"/>
          <w:b/>
          <w:bCs/>
          <w:noProof/>
        </w:rPr>
        <w:t>Økonomi</w:t>
      </w:r>
    </w:p>
    <w:p w14:paraId="700424C0" w14:textId="60492CE1" w:rsidR="0041480B" w:rsidRPr="002947D9" w:rsidRDefault="0041480B" w:rsidP="003D3705">
      <w:pPr>
        <w:spacing w:after="0" w:line="240" w:lineRule="auto"/>
        <w:rPr>
          <w:rFonts w:ascii="Open Sans" w:hAnsi="Open Sans" w:cs="Open Sans"/>
          <w:noProof/>
        </w:rPr>
      </w:pPr>
      <w:r w:rsidRPr="002947D9">
        <w:rPr>
          <w:rFonts w:ascii="Open Sans" w:hAnsi="Open Sans" w:cs="Open Sans"/>
          <w:noProof/>
        </w:rPr>
        <w:t xml:space="preserve">I Trøndelag har </w:t>
      </w:r>
      <w:r w:rsidR="006A6CC4">
        <w:rPr>
          <w:rFonts w:ascii="Open Sans" w:hAnsi="Open Sans" w:cs="Open Sans"/>
          <w:noProof/>
        </w:rPr>
        <w:t>samarbeidsforum</w:t>
      </w:r>
      <w:r w:rsidR="009D6B24">
        <w:rPr>
          <w:rFonts w:ascii="Open Sans" w:hAnsi="Open Sans" w:cs="Open Sans"/>
          <w:noProof/>
        </w:rPr>
        <w:t xml:space="preserve"> for Dekom</w:t>
      </w:r>
      <w:r w:rsidR="006A6CC4">
        <w:rPr>
          <w:rFonts w:ascii="Open Sans" w:hAnsi="Open Sans" w:cs="Open Sans"/>
          <w:noProof/>
        </w:rPr>
        <w:t xml:space="preserve"> vedtatt </w:t>
      </w:r>
      <w:r w:rsidRPr="002947D9">
        <w:rPr>
          <w:rFonts w:ascii="Open Sans" w:hAnsi="Open Sans" w:cs="Open Sans"/>
          <w:noProof/>
        </w:rPr>
        <w:t>pro rata-tildeling</w:t>
      </w:r>
      <w:r w:rsidR="00EC31CD" w:rsidRPr="002947D9">
        <w:rPr>
          <w:rFonts w:ascii="Open Sans" w:hAnsi="Open Sans" w:cs="Open Sans"/>
          <w:noProof/>
        </w:rPr>
        <w:t xml:space="preserve"> til kompetansenettverkene. S</w:t>
      </w:r>
      <w:r w:rsidRPr="002947D9">
        <w:rPr>
          <w:rFonts w:ascii="Open Sans" w:hAnsi="Open Sans" w:cs="Open Sans"/>
          <w:noProof/>
        </w:rPr>
        <w:t xml:space="preserve">amarbeidsforum </w:t>
      </w:r>
      <w:r w:rsidR="00D30F25" w:rsidRPr="002947D9">
        <w:rPr>
          <w:rFonts w:ascii="Open Sans" w:hAnsi="Open Sans" w:cs="Open Sans"/>
          <w:noProof/>
        </w:rPr>
        <w:t xml:space="preserve">har </w:t>
      </w:r>
      <w:r w:rsidR="00EC31CD" w:rsidRPr="002947D9">
        <w:rPr>
          <w:rFonts w:ascii="Open Sans" w:hAnsi="Open Sans" w:cs="Open Sans"/>
          <w:noProof/>
        </w:rPr>
        <w:t>beslutte</w:t>
      </w:r>
      <w:r w:rsidR="00D30F25" w:rsidRPr="002947D9">
        <w:rPr>
          <w:rFonts w:ascii="Open Sans" w:hAnsi="Open Sans" w:cs="Open Sans"/>
          <w:noProof/>
        </w:rPr>
        <w:t>t</w:t>
      </w:r>
      <w:r w:rsidR="00EC31CD" w:rsidRPr="002947D9">
        <w:rPr>
          <w:rFonts w:ascii="Open Sans" w:hAnsi="Open Sans" w:cs="Open Sans"/>
          <w:noProof/>
        </w:rPr>
        <w:t xml:space="preserve"> </w:t>
      </w:r>
      <w:r w:rsidRPr="002947D9">
        <w:rPr>
          <w:rFonts w:ascii="Open Sans" w:hAnsi="Open Sans" w:cs="Open Sans"/>
          <w:noProof/>
        </w:rPr>
        <w:t>en fordelingsnøkkel basert på de 11 nettverkenes lærerårsverk</w:t>
      </w:r>
      <w:r w:rsidR="00EC31CD" w:rsidRPr="002947D9">
        <w:rPr>
          <w:rFonts w:ascii="Open Sans" w:hAnsi="Open Sans" w:cs="Open Sans"/>
          <w:noProof/>
        </w:rPr>
        <w:t xml:space="preserve">, samt  et grunntilskudd som gir en </w:t>
      </w:r>
      <w:r w:rsidR="00D30F25" w:rsidRPr="002947D9">
        <w:rPr>
          <w:rFonts w:ascii="Open Sans" w:hAnsi="Open Sans" w:cs="Open Sans"/>
          <w:noProof/>
        </w:rPr>
        <w:t xml:space="preserve">rimelig </w:t>
      </w:r>
      <w:r w:rsidR="00EC31CD" w:rsidRPr="002947D9">
        <w:rPr>
          <w:rFonts w:ascii="Open Sans" w:hAnsi="Open Sans" w:cs="Open Sans"/>
          <w:noProof/>
        </w:rPr>
        <w:t>fordeli</w:t>
      </w:r>
      <w:r w:rsidR="00D30F25" w:rsidRPr="002947D9">
        <w:rPr>
          <w:rFonts w:ascii="Open Sans" w:hAnsi="Open Sans" w:cs="Open Sans"/>
          <w:noProof/>
        </w:rPr>
        <w:t>n</w:t>
      </w:r>
      <w:r w:rsidR="00EC31CD" w:rsidRPr="002947D9">
        <w:rPr>
          <w:rFonts w:ascii="Open Sans" w:hAnsi="Open Sans" w:cs="Open Sans"/>
          <w:noProof/>
        </w:rPr>
        <w:t>g</w:t>
      </w:r>
      <w:r w:rsidRPr="002947D9">
        <w:rPr>
          <w:rFonts w:ascii="Open Sans" w:hAnsi="Open Sans" w:cs="Open Sans"/>
          <w:noProof/>
        </w:rPr>
        <w:t xml:space="preserve">. </w:t>
      </w:r>
      <w:r w:rsidR="00D30F25" w:rsidRPr="002947D9">
        <w:rPr>
          <w:rFonts w:ascii="Open Sans" w:hAnsi="Open Sans" w:cs="Open Sans"/>
          <w:noProof/>
        </w:rPr>
        <w:t xml:space="preserve">Når kompetansenettverkene leverer beslutningsgrunnlaget sitt, skal de forholde seg til den forhåndstildelte rammen. </w:t>
      </w:r>
      <w:r w:rsidRPr="002947D9">
        <w:rPr>
          <w:rFonts w:ascii="Open Sans" w:hAnsi="Open Sans" w:cs="Open Sans"/>
          <w:noProof/>
        </w:rPr>
        <w:t xml:space="preserve">I tillegg har samarbeidsforum besluttet å tildele midler til fellestiltak som alle nettverk får ta del i. </w:t>
      </w:r>
    </w:p>
    <w:p w14:paraId="45024B70" w14:textId="0414D58B" w:rsidR="001E08F9" w:rsidRPr="002947D9" w:rsidRDefault="001E08F9" w:rsidP="003D3705">
      <w:pPr>
        <w:spacing w:after="0" w:line="240" w:lineRule="auto"/>
        <w:rPr>
          <w:rFonts w:ascii="Open Sans" w:hAnsi="Open Sans" w:cs="Open Sans"/>
          <w:noProof/>
        </w:rPr>
      </w:pPr>
    </w:p>
    <w:p w14:paraId="2253B3DE" w14:textId="52589544" w:rsidR="00ED6AC8" w:rsidRPr="002947D9" w:rsidRDefault="00763F21" w:rsidP="003D3705">
      <w:pPr>
        <w:spacing w:after="0" w:line="240" w:lineRule="auto"/>
        <w:rPr>
          <w:rFonts w:ascii="Open Sans" w:hAnsi="Open Sans" w:cs="Open Sans"/>
          <w:noProof/>
        </w:rPr>
      </w:pPr>
      <w:r>
        <w:rPr>
          <w:rFonts w:ascii="Open Sans" w:hAnsi="Open Sans" w:cs="Open Sans"/>
          <w:noProof/>
        </w:rPr>
        <w:t>Kompetansetiltak innenfor o</w:t>
      </w:r>
      <w:r w:rsidR="001E08F9" w:rsidRPr="002947D9">
        <w:rPr>
          <w:rFonts w:ascii="Open Sans" w:hAnsi="Open Sans" w:cs="Open Sans"/>
          <w:noProof/>
        </w:rPr>
        <w:t>rdningene skal ses i sammenheng</w:t>
      </w:r>
      <w:r w:rsidR="00D30F25" w:rsidRPr="002947D9">
        <w:rPr>
          <w:rFonts w:ascii="Open Sans" w:hAnsi="Open Sans" w:cs="Open Sans"/>
          <w:noProof/>
        </w:rPr>
        <w:t>.</w:t>
      </w:r>
      <w:r w:rsidR="001E08F9" w:rsidRPr="002947D9">
        <w:rPr>
          <w:rFonts w:ascii="Open Sans" w:hAnsi="Open Sans" w:cs="Open Sans"/>
          <w:noProof/>
        </w:rPr>
        <w:t xml:space="preserve"> </w:t>
      </w:r>
      <w:r w:rsidR="00D30F25" w:rsidRPr="002947D9">
        <w:rPr>
          <w:rFonts w:ascii="Open Sans" w:hAnsi="Open Sans" w:cs="Open Sans"/>
          <w:noProof/>
        </w:rPr>
        <w:t xml:space="preserve">Det er </w:t>
      </w:r>
      <w:r w:rsidR="00705A77">
        <w:rPr>
          <w:rFonts w:ascii="Open Sans" w:hAnsi="Open Sans" w:cs="Open Sans"/>
          <w:noProof/>
        </w:rPr>
        <w:t xml:space="preserve">derfor anledning til </w:t>
      </w:r>
      <w:r w:rsidR="001E08F9" w:rsidRPr="002947D9">
        <w:rPr>
          <w:rFonts w:ascii="Open Sans" w:hAnsi="Open Sans" w:cs="Open Sans"/>
          <w:noProof/>
        </w:rPr>
        <w:t xml:space="preserve">å disponere midler </w:t>
      </w:r>
      <w:r w:rsidR="0009403E" w:rsidRPr="002947D9">
        <w:rPr>
          <w:rFonts w:ascii="Open Sans" w:hAnsi="Open Sans" w:cs="Open Sans"/>
          <w:noProof/>
        </w:rPr>
        <w:t>innenfor Dekom til tiltak innenfor Kompetanseløftet</w:t>
      </w:r>
      <w:r w:rsidR="000C29E8">
        <w:rPr>
          <w:rFonts w:ascii="Open Sans" w:hAnsi="Open Sans" w:cs="Open Sans"/>
          <w:noProof/>
        </w:rPr>
        <w:t xml:space="preserve">. Det er imidlertid ikke </w:t>
      </w:r>
      <w:r>
        <w:rPr>
          <w:rFonts w:ascii="Open Sans" w:hAnsi="Open Sans" w:cs="Open Sans"/>
          <w:noProof/>
        </w:rPr>
        <w:t>anlednin</w:t>
      </w:r>
      <w:r w:rsidR="00705A77">
        <w:rPr>
          <w:rFonts w:ascii="Open Sans" w:hAnsi="Open Sans" w:cs="Open Sans"/>
          <w:noProof/>
        </w:rPr>
        <w:t>g</w:t>
      </w:r>
      <w:r>
        <w:rPr>
          <w:rFonts w:ascii="Open Sans" w:hAnsi="Open Sans" w:cs="Open Sans"/>
          <w:noProof/>
        </w:rPr>
        <w:t xml:space="preserve"> til </w:t>
      </w:r>
      <w:r w:rsidR="000C29E8">
        <w:rPr>
          <w:rFonts w:ascii="Open Sans" w:hAnsi="Open Sans" w:cs="Open Sans"/>
          <w:noProof/>
        </w:rPr>
        <w:t xml:space="preserve"> å disponere midler fra Kompetanseløftet til Dekom-tiltak.</w:t>
      </w:r>
      <w:r w:rsidR="009D6B24">
        <w:rPr>
          <w:rFonts w:ascii="Open Sans" w:hAnsi="Open Sans" w:cs="Open Sans"/>
          <w:noProof/>
        </w:rPr>
        <w:br/>
      </w:r>
    </w:p>
    <w:p w14:paraId="4C8C07BD" w14:textId="79251FFA" w:rsidR="003D3705" w:rsidRPr="002947D9" w:rsidRDefault="00D30F25" w:rsidP="001115BA">
      <w:pPr>
        <w:spacing w:after="0" w:line="240" w:lineRule="auto"/>
        <w:rPr>
          <w:rFonts w:ascii="Open Sans" w:hAnsi="Open Sans" w:cs="Open Sans"/>
          <w:noProof/>
        </w:rPr>
      </w:pPr>
      <w:r w:rsidRPr="002947D9">
        <w:rPr>
          <w:rFonts w:ascii="Open Sans" w:hAnsi="Open Sans" w:cs="Open Sans"/>
          <w:b/>
          <w:bCs/>
          <w:noProof/>
        </w:rPr>
        <w:t>F</w:t>
      </w:r>
      <w:r w:rsidR="003D3705" w:rsidRPr="002947D9">
        <w:rPr>
          <w:rFonts w:ascii="Open Sans" w:hAnsi="Open Sans" w:cs="Open Sans"/>
          <w:b/>
          <w:bCs/>
          <w:noProof/>
        </w:rPr>
        <w:t xml:space="preserve">ellestiltak </w:t>
      </w:r>
      <w:r w:rsidRPr="002947D9">
        <w:rPr>
          <w:rFonts w:ascii="Open Sans" w:hAnsi="Open Sans" w:cs="Open Sans"/>
          <w:b/>
          <w:bCs/>
          <w:noProof/>
        </w:rPr>
        <w:t>i</w:t>
      </w:r>
      <w:r w:rsidR="003D3705" w:rsidRPr="002947D9">
        <w:rPr>
          <w:rFonts w:ascii="Open Sans" w:hAnsi="Open Sans" w:cs="Open Sans"/>
          <w:b/>
          <w:bCs/>
          <w:noProof/>
        </w:rPr>
        <w:t xml:space="preserve"> Trøndelag</w:t>
      </w:r>
      <w:r w:rsidR="001115BA" w:rsidRPr="002947D9">
        <w:rPr>
          <w:rFonts w:ascii="Open Sans" w:hAnsi="Open Sans" w:cs="Open Sans"/>
          <w:b/>
          <w:bCs/>
          <w:noProof/>
        </w:rPr>
        <w:br/>
      </w:r>
      <w:r w:rsidR="0013097D">
        <w:rPr>
          <w:rFonts w:ascii="Open Sans" w:hAnsi="Open Sans" w:cs="Open Sans"/>
          <w:noProof/>
        </w:rPr>
        <w:t xml:space="preserve">Mange nettverk har samme utfordringsbilde. </w:t>
      </w:r>
      <w:r w:rsidR="003D3705" w:rsidRPr="002947D9">
        <w:rPr>
          <w:rFonts w:ascii="Open Sans" w:hAnsi="Open Sans" w:cs="Open Sans"/>
          <w:noProof/>
        </w:rPr>
        <w:t>Samarbeidsforum har</w:t>
      </w:r>
      <w:r w:rsidR="0013097D">
        <w:rPr>
          <w:rFonts w:ascii="Open Sans" w:hAnsi="Open Sans" w:cs="Open Sans"/>
          <w:noProof/>
        </w:rPr>
        <w:t xml:space="preserve"> </w:t>
      </w:r>
      <w:r w:rsidR="00BD04BB">
        <w:rPr>
          <w:rFonts w:ascii="Open Sans" w:hAnsi="Open Sans" w:cs="Open Sans"/>
          <w:noProof/>
        </w:rPr>
        <w:t xml:space="preserve">med bakgrunn i dette, </w:t>
      </w:r>
      <w:r w:rsidR="003D3705" w:rsidRPr="002947D9">
        <w:rPr>
          <w:rFonts w:ascii="Open Sans" w:hAnsi="Open Sans" w:cs="Open Sans"/>
          <w:noProof/>
        </w:rPr>
        <w:t>planlagt</w:t>
      </w:r>
      <w:r w:rsidR="0013097D">
        <w:rPr>
          <w:rFonts w:ascii="Open Sans" w:hAnsi="Open Sans" w:cs="Open Sans"/>
          <w:noProof/>
        </w:rPr>
        <w:t xml:space="preserve"> og utviklet</w:t>
      </w:r>
      <w:r w:rsidR="003D3705" w:rsidRPr="002947D9">
        <w:rPr>
          <w:rFonts w:ascii="Open Sans" w:hAnsi="Open Sans" w:cs="Open Sans"/>
          <w:noProof/>
        </w:rPr>
        <w:t xml:space="preserve"> langsiktige fellestiltak</w:t>
      </w:r>
      <w:r w:rsidR="00BD04BB">
        <w:rPr>
          <w:rFonts w:ascii="Open Sans" w:hAnsi="Open Sans" w:cs="Open Sans"/>
          <w:noProof/>
        </w:rPr>
        <w:t xml:space="preserve"> i samarbeid med kompetansenettverkene og universitet</w:t>
      </w:r>
      <w:r w:rsidR="00CE34C9">
        <w:rPr>
          <w:rFonts w:ascii="Open Sans" w:hAnsi="Open Sans" w:cs="Open Sans"/>
          <w:noProof/>
        </w:rPr>
        <w:t xml:space="preserve"> (UH).</w:t>
      </w:r>
      <w:r w:rsidR="003D3705" w:rsidRPr="002947D9">
        <w:rPr>
          <w:rFonts w:ascii="Open Sans" w:hAnsi="Open Sans" w:cs="Open Sans"/>
          <w:noProof/>
        </w:rPr>
        <w:t xml:space="preserve"> Vedlegg 1</w:t>
      </w:r>
      <w:r w:rsidR="00CE34C9">
        <w:rPr>
          <w:rFonts w:ascii="Open Sans" w:hAnsi="Open Sans" w:cs="Open Sans"/>
          <w:noProof/>
        </w:rPr>
        <w:t xml:space="preserve"> og </w:t>
      </w:r>
      <w:r w:rsidR="003D3705" w:rsidRPr="002947D9">
        <w:rPr>
          <w:rFonts w:ascii="Open Sans" w:hAnsi="Open Sans" w:cs="Open Sans"/>
          <w:noProof/>
        </w:rPr>
        <w:t>2 beskriver de t</w:t>
      </w:r>
      <w:r w:rsidR="00CE34C9">
        <w:rPr>
          <w:rFonts w:ascii="Open Sans" w:hAnsi="Open Sans" w:cs="Open Sans"/>
          <w:noProof/>
        </w:rPr>
        <w:t>o</w:t>
      </w:r>
      <w:r w:rsidR="003D3705" w:rsidRPr="002947D9">
        <w:rPr>
          <w:rFonts w:ascii="Open Sans" w:hAnsi="Open Sans" w:cs="Open Sans"/>
          <w:noProof/>
        </w:rPr>
        <w:t xml:space="preserve"> fellestiltakene</w:t>
      </w:r>
      <w:r w:rsidR="00CE34C9">
        <w:rPr>
          <w:rFonts w:ascii="Open Sans" w:hAnsi="Open Sans" w:cs="Open Sans"/>
          <w:noProof/>
        </w:rPr>
        <w:t>.</w:t>
      </w:r>
      <w:r w:rsidR="003D3705" w:rsidRPr="002947D9">
        <w:rPr>
          <w:rFonts w:ascii="Open Sans" w:hAnsi="Open Sans" w:cs="Open Sans"/>
          <w:noProof/>
        </w:rPr>
        <w:t xml:space="preserve"> Tabellen under viser varigheten på de ulike tiltakene</w:t>
      </w:r>
      <w:r w:rsidR="002E1E3A">
        <w:rPr>
          <w:rFonts w:ascii="Open Sans" w:hAnsi="Open Sans" w:cs="Open Sans"/>
          <w:noProof/>
        </w:rPr>
        <w:t xml:space="preserve">. Evalueringer underveis kan medføre justeringer, både </w:t>
      </w:r>
      <w:r w:rsidR="006C41F8">
        <w:rPr>
          <w:rFonts w:ascii="Open Sans" w:hAnsi="Open Sans" w:cs="Open Sans"/>
          <w:noProof/>
        </w:rPr>
        <w:t xml:space="preserve">med hensyn til innhold og </w:t>
      </w:r>
      <w:r w:rsidR="002E1E3A">
        <w:rPr>
          <w:rFonts w:ascii="Open Sans" w:hAnsi="Open Sans" w:cs="Open Sans"/>
          <w:noProof/>
        </w:rPr>
        <w:t>varighet</w:t>
      </w:r>
      <w:r w:rsidR="006C41F8">
        <w:rPr>
          <w:rFonts w:ascii="Open Sans" w:hAnsi="Open Sans" w:cs="Open Sans"/>
          <w:noProof/>
        </w:rPr>
        <w:t>.</w:t>
      </w:r>
    </w:p>
    <w:p w14:paraId="18ABD847" w14:textId="77777777" w:rsidR="00DD66AB" w:rsidRPr="002947D9" w:rsidRDefault="00DD66AB" w:rsidP="003D3705">
      <w:pPr>
        <w:spacing w:after="0" w:line="240" w:lineRule="auto"/>
        <w:rPr>
          <w:rFonts w:ascii="Open Sans" w:hAnsi="Open Sans" w:cs="Open Sans"/>
          <w:noProof/>
        </w:rPr>
      </w:pPr>
    </w:p>
    <w:tbl>
      <w:tblPr>
        <w:tblStyle w:val="Tabellrutenett"/>
        <w:tblW w:w="0" w:type="auto"/>
        <w:tblLook w:val="04A0" w:firstRow="1" w:lastRow="0" w:firstColumn="1" w:lastColumn="0" w:noHBand="0" w:noVBand="1"/>
      </w:tblPr>
      <w:tblGrid>
        <w:gridCol w:w="4531"/>
        <w:gridCol w:w="851"/>
        <w:gridCol w:w="850"/>
        <w:gridCol w:w="993"/>
        <w:gridCol w:w="992"/>
        <w:gridCol w:w="845"/>
      </w:tblGrid>
      <w:tr w:rsidR="002E1E3A" w:rsidRPr="002947D9" w14:paraId="5C0F6D4E" w14:textId="3EEAB383" w:rsidTr="00557499">
        <w:tc>
          <w:tcPr>
            <w:tcW w:w="4531" w:type="dxa"/>
          </w:tcPr>
          <w:p w14:paraId="3311C12B" w14:textId="77777777" w:rsidR="002E1E3A" w:rsidRPr="002947D9" w:rsidRDefault="002E1E3A" w:rsidP="00AD7ECD">
            <w:pPr>
              <w:rPr>
                <w:rFonts w:ascii="Open Sans" w:hAnsi="Open Sans" w:cs="Open Sans"/>
              </w:rPr>
            </w:pPr>
            <w:r w:rsidRPr="002947D9">
              <w:rPr>
                <w:rFonts w:ascii="Open Sans" w:hAnsi="Open Sans" w:cs="Open Sans"/>
              </w:rPr>
              <w:t>Fellestiltak</w:t>
            </w:r>
          </w:p>
        </w:tc>
        <w:tc>
          <w:tcPr>
            <w:tcW w:w="851" w:type="dxa"/>
          </w:tcPr>
          <w:p w14:paraId="4B2C4A7D" w14:textId="6754ED72" w:rsidR="002E1E3A" w:rsidRPr="002947D9" w:rsidRDefault="002E1E3A" w:rsidP="00CE34C9">
            <w:pPr>
              <w:jc w:val="center"/>
              <w:rPr>
                <w:rFonts w:ascii="Open Sans" w:hAnsi="Open Sans" w:cs="Open Sans"/>
              </w:rPr>
            </w:pPr>
            <w:r w:rsidRPr="002947D9">
              <w:rPr>
                <w:rFonts w:ascii="Open Sans" w:hAnsi="Open Sans" w:cs="Open Sans"/>
              </w:rPr>
              <w:t>20/21</w:t>
            </w:r>
          </w:p>
        </w:tc>
        <w:tc>
          <w:tcPr>
            <w:tcW w:w="850" w:type="dxa"/>
          </w:tcPr>
          <w:p w14:paraId="7D327C44" w14:textId="40262673" w:rsidR="002E1E3A" w:rsidRPr="002947D9" w:rsidRDefault="002E1E3A" w:rsidP="00CE34C9">
            <w:pPr>
              <w:jc w:val="center"/>
              <w:rPr>
                <w:rFonts w:ascii="Open Sans" w:hAnsi="Open Sans" w:cs="Open Sans"/>
              </w:rPr>
            </w:pPr>
            <w:r w:rsidRPr="002947D9">
              <w:rPr>
                <w:rFonts w:ascii="Open Sans" w:hAnsi="Open Sans" w:cs="Open Sans"/>
              </w:rPr>
              <w:t>21/22</w:t>
            </w:r>
          </w:p>
        </w:tc>
        <w:tc>
          <w:tcPr>
            <w:tcW w:w="993" w:type="dxa"/>
          </w:tcPr>
          <w:p w14:paraId="14D63B43" w14:textId="129DE32B" w:rsidR="002E1E3A" w:rsidRPr="002947D9" w:rsidRDefault="002E1E3A" w:rsidP="00CE34C9">
            <w:pPr>
              <w:jc w:val="center"/>
              <w:rPr>
                <w:rFonts w:ascii="Open Sans" w:hAnsi="Open Sans" w:cs="Open Sans"/>
              </w:rPr>
            </w:pPr>
            <w:r w:rsidRPr="002947D9">
              <w:rPr>
                <w:rFonts w:ascii="Open Sans" w:hAnsi="Open Sans" w:cs="Open Sans"/>
              </w:rPr>
              <w:t>22/23</w:t>
            </w:r>
          </w:p>
        </w:tc>
        <w:tc>
          <w:tcPr>
            <w:tcW w:w="992" w:type="dxa"/>
          </w:tcPr>
          <w:p w14:paraId="79AC24DF" w14:textId="4E20B6D8" w:rsidR="002E1E3A" w:rsidRPr="002947D9" w:rsidRDefault="002E1E3A" w:rsidP="00CE34C9">
            <w:pPr>
              <w:jc w:val="center"/>
              <w:rPr>
                <w:rFonts w:ascii="Open Sans" w:hAnsi="Open Sans" w:cs="Open Sans"/>
              </w:rPr>
            </w:pPr>
            <w:r w:rsidRPr="002947D9">
              <w:rPr>
                <w:rFonts w:ascii="Open Sans" w:hAnsi="Open Sans" w:cs="Open Sans"/>
              </w:rPr>
              <w:t>23/24</w:t>
            </w:r>
          </w:p>
        </w:tc>
        <w:tc>
          <w:tcPr>
            <w:tcW w:w="845" w:type="dxa"/>
          </w:tcPr>
          <w:p w14:paraId="4CF5844D" w14:textId="2188B4A3" w:rsidR="002E1E3A" w:rsidRPr="002947D9" w:rsidRDefault="002E1E3A" w:rsidP="00CE34C9">
            <w:pPr>
              <w:jc w:val="center"/>
              <w:rPr>
                <w:rFonts w:ascii="Open Sans" w:hAnsi="Open Sans" w:cs="Open Sans"/>
              </w:rPr>
            </w:pPr>
            <w:r>
              <w:rPr>
                <w:rFonts w:ascii="Open Sans" w:hAnsi="Open Sans" w:cs="Open Sans"/>
              </w:rPr>
              <w:t>24/25</w:t>
            </w:r>
          </w:p>
        </w:tc>
      </w:tr>
      <w:tr w:rsidR="002E1E3A" w:rsidRPr="002947D9" w14:paraId="43E6BFC7" w14:textId="01E16467" w:rsidTr="00557499">
        <w:tc>
          <w:tcPr>
            <w:tcW w:w="4531" w:type="dxa"/>
            <w:shd w:val="clear" w:color="auto" w:fill="E2EFD9" w:themeFill="accent6" w:themeFillTint="33"/>
          </w:tcPr>
          <w:p w14:paraId="56E1318F" w14:textId="77777777" w:rsidR="002E1E3A" w:rsidRPr="002947D9" w:rsidRDefault="002E1E3A" w:rsidP="00AD7ECD">
            <w:pPr>
              <w:rPr>
                <w:rFonts w:ascii="Open Sans" w:hAnsi="Open Sans" w:cs="Open Sans"/>
              </w:rPr>
            </w:pPr>
            <w:r w:rsidRPr="002947D9">
              <w:rPr>
                <w:rFonts w:ascii="Open Sans" w:hAnsi="Open Sans" w:cs="Open Sans"/>
              </w:rPr>
              <w:t>Begynneropplæringstiltaket</w:t>
            </w:r>
          </w:p>
        </w:tc>
        <w:tc>
          <w:tcPr>
            <w:tcW w:w="851" w:type="dxa"/>
            <w:shd w:val="clear" w:color="auto" w:fill="E2EFD9" w:themeFill="accent6" w:themeFillTint="33"/>
          </w:tcPr>
          <w:p w14:paraId="18372E31" w14:textId="77777777" w:rsidR="002E1E3A" w:rsidRPr="002947D9" w:rsidRDefault="002E1E3A" w:rsidP="00AD7ECD">
            <w:pPr>
              <w:rPr>
                <w:rFonts w:ascii="Open Sans" w:hAnsi="Open Sans" w:cs="Open Sans"/>
              </w:rPr>
            </w:pPr>
          </w:p>
        </w:tc>
        <w:tc>
          <w:tcPr>
            <w:tcW w:w="850" w:type="dxa"/>
            <w:shd w:val="clear" w:color="auto" w:fill="E2EFD9" w:themeFill="accent6" w:themeFillTint="33"/>
          </w:tcPr>
          <w:p w14:paraId="17F3CF37" w14:textId="77777777" w:rsidR="002E1E3A" w:rsidRPr="002947D9" w:rsidRDefault="002E1E3A" w:rsidP="00AD7ECD">
            <w:pPr>
              <w:rPr>
                <w:rFonts w:ascii="Open Sans" w:hAnsi="Open Sans" w:cs="Open Sans"/>
              </w:rPr>
            </w:pPr>
          </w:p>
        </w:tc>
        <w:tc>
          <w:tcPr>
            <w:tcW w:w="993" w:type="dxa"/>
            <w:shd w:val="clear" w:color="auto" w:fill="E2EFD9" w:themeFill="accent6" w:themeFillTint="33"/>
          </w:tcPr>
          <w:p w14:paraId="7F613A68" w14:textId="77777777" w:rsidR="002E1E3A" w:rsidRPr="002947D9" w:rsidRDefault="002E1E3A" w:rsidP="00AD7ECD">
            <w:pPr>
              <w:rPr>
                <w:rFonts w:ascii="Open Sans" w:hAnsi="Open Sans" w:cs="Open Sans"/>
              </w:rPr>
            </w:pPr>
          </w:p>
        </w:tc>
        <w:tc>
          <w:tcPr>
            <w:tcW w:w="992" w:type="dxa"/>
          </w:tcPr>
          <w:p w14:paraId="500AA848" w14:textId="77777777" w:rsidR="002E1E3A" w:rsidRPr="002947D9" w:rsidRDefault="002E1E3A" w:rsidP="00AD7ECD">
            <w:pPr>
              <w:rPr>
                <w:rFonts w:ascii="Open Sans" w:hAnsi="Open Sans" w:cs="Open Sans"/>
              </w:rPr>
            </w:pPr>
          </w:p>
        </w:tc>
        <w:tc>
          <w:tcPr>
            <w:tcW w:w="845" w:type="dxa"/>
          </w:tcPr>
          <w:p w14:paraId="3ED58282" w14:textId="77777777" w:rsidR="002E1E3A" w:rsidRPr="002947D9" w:rsidRDefault="002E1E3A" w:rsidP="00AD7ECD">
            <w:pPr>
              <w:rPr>
                <w:rFonts w:ascii="Open Sans" w:hAnsi="Open Sans" w:cs="Open Sans"/>
              </w:rPr>
            </w:pPr>
          </w:p>
        </w:tc>
      </w:tr>
      <w:tr w:rsidR="006C41F8" w:rsidRPr="002947D9" w14:paraId="35FD0CCC" w14:textId="1FFC8CD3" w:rsidTr="006C41F8">
        <w:tc>
          <w:tcPr>
            <w:tcW w:w="4531" w:type="dxa"/>
            <w:shd w:val="clear" w:color="auto" w:fill="FFF2CC" w:themeFill="accent4" w:themeFillTint="33"/>
          </w:tcPr>
          <w:p w14:paraId="0658052C" w14:textId="77777777" w:rsidR="002E1E3A" w:rsidRPr="002947D9" w:rsidRDefault="002E1E3A" w:rsidP="00AD7ECD">
            <w:pPr>
              <w:rPr>
                <w:rFonts w:ascii="Open Sans" w:hAnsi="Open Sans" w:cs="Open Sans"/>
              </w:rPr>
            </w:pPr>
            <w:r w:rsidRPr="002947D9">
              <w:rPr>
                <w:rFonts w:ascii="Open Sans" w:hAnsi="Open Sans" w:cs="Open Sans"/>
              </w:rPr>
              <w:t>Læreplan og vurdering, pulje 1</w:t>
            </w:r>
          </w:p>
        </w:tc>
        <w:tc>
          <w:tcPr>
            <w:tcW w:w="851" w:type="dxa"/>
          </w:tcPr>
          <w:p w14:paraId="79CB0E38" w14:textId="77777777" w:rsidR="002E1E3A" w:rsidRPr="002947D9" w:rsidRDefault="002E1E3A" w:rsidP="00AD7ECD">
            <w:pPr>
              <w:rPr>
                <w:rFonts w:ascii="Open Sans" w:hAnsi="Open Sans" w:cs="Open Sans"/>
              </w:rPr>
            </w:pPr>
          </w:p>
        </w:tc>
        <w:tc>
          <w:tcPr>
            <w:tcW w:w="850" w:type="dxa"/>
            <w:shd w:val="clear" w:color="auto" w:fill="FFFFFF" w:themeFill="background1"/>
          </w:tcPr>
          <w:p w14:paraId="7DED851C" w14:textId="77777777" w:rsidR="002E1E3A" w:rsidRPr="00763F21" w:rsidRDefault="002E1E3A" w:rsidP="00AD7ECD">
            <w:pPr>
              <w:rPr>
                <w:rFonts w:ascii="Open Sans" w:hAnsi="Open Sans" w:cs="Open Sans"/>
              </w:rPr>
            </w:pPr>
          </w:p>
        </w:tc>
        <w:tc>
          <w:tcPr>
            <w:tcW w:w="993" w:type="dxa"/>
            <w:shd w:val="clear" w:color="auto" w:fill="FFF2CC" w:themeFill="accent4" w:themeFillTint="33"/>
          </w:tcPr>
          <w:p w14:paraId="1C186C4C" w14:textId="77777777" w:rsidR="002E1E3A" w:rsidRPr="002947D9" w:rsidRDefault="002E1E3A" w:rsidP="00AD7ECD">
            <w:pPr>
              <w:rPr>
                <w:rFonts w:ascii="Open Sans" w:hAnsi="Open Sans" w:cs="Open Sans"/>
              </w:rPr>
            </w:pPr>
          </w:p>
        </w:tc>
        <w:tc>
          <w:tcPr>
            <w:tcW w:w="992" w:type="dxa"/>
            <w:shd w:val="clear" w:color="auto" w:fill="FFF2CC" w:themeFill="accent4" w:themeFillTint="33"/>
          </w:tcPr>
          <w:p w14:paraId="6FFF7374" w14:textId="77777777" w:rsidR="002E1E3A" w:rsidRPr="002947D9" w:rsidRDefault="002E1E3A" w:rsidP="00AD7ECD">
            <w:pPr>
              <w:rPr>
                <w:rFonts w:ascii="Open Sans" w:hAnsi="Open Sans" w:cs="Open Sans"/>
              </w:rPr>
            </w:pPr>
          </w:p>
        </w:tc>
        <w:tc>
          <w:tcPr>
            <w:tcW w:w="845" w:type="dxa"/>
            <w:shd w:val="clear" w:color="auto" w:fill="FFF2CC" w:themeFill="accent4" w:themeFillTint="33"/>
          </w:tcPr>
          <w:p w14:paraId="36B32BBB" w14:textId="77777777" w:rsidR="002E1E3A" w:rsidRPr="002947D9" w:rsidRDefault="002E1E3A" w:rsidP="00AD7ECD">
            <w:pPr>
              <w:rPr>
                <w:rFonts w:ascii="Open Sans" w:hAnsi="Open Sans" w:cs="Open Sans"/>
              </w:rPr>
            </w:pPr>
          </w:p>
        </w:tc>
      </w:tr>
      <w:tr w:rsidR="002E1E3A" w:rsidRPr="002947D9" w14:paraId="20C61CCE" w14:textId="12A17DCD" w:rsidTr="00E2568A">
        <w:tc>
          <w:tcPr>
            <w:tcW w:w="4531" w:type="dxa"/>
            <w:shd w:val="clear" w:color="auto" w:fill="FFF2CC" w:themeFill="accent4" w:themeFillTint="33"/>
          </w:tcPr>
          <w:p w14:paraId="47E0B810" w14:textId="77777777" w:rsidR="002E1E3A" w:rsidRPr="002947D9" w:rsidRDefault="002E1E3A" w:rsidP="00AD7ECD">
            <w:pPr>
              <w:rPr>
                <w:rFonts w:ascii="Open Sans" w:hAnsi="Open Sans" w:cs="Open Sans"/>
              </w:rPr>
            </w:pPr>
            <w:r w:rsidRPr="002947D9">
              <w:rPr>
                <w:rFonts w:ascii="Open Sans" w:hAnsi="Open Sans" w:cs="Open Sans"/>
              </w:rPr>
              <w:t>Læreplan og vurdering, pulje 2</w:t>
            </w:r>
          </w:p>
        </w:tc>
        <w:tc>
          <w:tcPr>
            <w:tcW w:w="851" w:type="dxa"/>
          </w:tcPr>
          <w:p w14:paraId="1302225F" w14:textId="77777777" w:rsidR="002E1E3A" w:rsidRPr="002947D9" w:rsidRDefault="002E1E3A" w:rsidP="00AD7ECD">
            <w:pPr>
              <w:rPr>
                <w:rFonts w:ascii="Open Sans" w:hAnsi="Open Sans" w:cs="Open Sans"/>
              </w:rPr>
            </w:pPr>
          </w:p>
        </w:tc>
        <w:tc>
          <w:tcPr>
            <w:tcW w:w="850" w:type="dxa"/>
            <w:shd w:val="clear" w:color="auto" w:fill="auto"/>
          </w:tcPr>
          <w:p w14:paraId="53ED40D8" w14:textId="77777777" w:rsidR="002E1E3A" w:rsidRPr="00763F21" w:rsidRDefault="002E1E3A" w:rsidP="00AD7ECD">
            <w:pPr>
              <w:rPr>
                <w:rFonts w:ascii="Open Sans" w:hAnsi="Open Sans" w:cs="Open Sans"/>
              </w:rPr>
            </w:pPr>
          </w:p>
        </w:tc>
        <w:tc>
          <w:tcPr>
            <w:tcW w:w="993" w:type="dxa"/>
            <w:shd w:val="clear" w:color="auto" w:fill="auto"/>
          </w:tcPr>
          <w:p w14:paraId="4FDD905C" w14:textId="01F7911C" w:rsidR="002E1E3A" w:rsidRPr="002947D9" w:rsidRDefault="002E1E3A" w:rsidP="00AD7ECD">
            <w:pPr>
              <w:rPr>
                <w:rFonts w:ascii="Open Sans" w:hAnsi="Open Sans" w:cs="Open Sans"/>
              </w:rPr>
            </w:pPr>
          </w:p>
        </w:tc>
        <w:tc>
          <w:tcPr>
            <w:tcW w:w="992" w:type="dxa"/>
            <w:shd w:val="clear" w:color="auto" w:fill="FFF2CC" w:themeFill="accent4" w:themeFillTint="33"/>
          </w:tcPr>
          <w:p w14:paraId="01F7F6DD" w14:textId="77777777" w:rsidR="002E1E3A" w:rsidRPr="002947D9" w:rsidRDefault="002E1E3A" w:rsidP="00AD7ECD">
            <w:pPr>
              <w:rPr>
                <w:rFonts w:ascii="Open Sans" w:hAnsi="Open Sans" w:cs="Open Sans"/>
              </w:rPr>
            </w:pPr>
          </w:p>
        </w:tc>
        <w:tc>
          <w:tcPr>
            <w:tcW w:w="845" w:type="dxa"/>
            <w:shd w:val="clear" w:color="auto" w:fill="FFF2CC" w:themeFill="accent4" w:themeFillTint="33"/>
          </w:tcPr>
          <w:p w14:paraId="5863E548" w14:textId="77777777" w:rsidR="002E1E3A" w:rsidRPr="002947D9" w:rsidRDefault="002E1E3A" w:rsidP="00AD7ECD">
            <w:pPr>
              <w:rPr>
                <w:rFonts w:ascii="Open Sans" w:hAnsi="Open Sans" w:cs="Open Sans"/>
              </w:rPr>
            </w:pPr>
          </w:p>
        </w:tc>
      </w:tr>
    </w:tbl>
    <w:p w14:paraId="58838414" w14:textId="77777777" w:rsidR="003D3705" w:rsidRPr="002947D9" w:rsidRDefault="003D3705" w:rsidP="003D3705">
      <w:pPr>
        <w:spacing w:after="0" w:line="240" w:lineRule="auto"/>
        <w:rPr>
          <w:rFonts w:ascii="Open Sans" w:hAnsi="Open Sans" w:cs="Open Sans"/>
          <w:noProof/>
        </w:rPr>
      </w:pPr>
    </w:p>
    <w:p w14:paraId="1F6E795F" w14:textId="3BAFEB49" w:rsidR="00E777DA" w:rsidRPr="002947D9" w:rsidRDefault="003D3705" w:rsidP="003D3705">
      <w:pPr>
        <w:spacing w:after="0" w:line="240" w:lineRule="auto"/>
        <w:rPr>
          <w:rFonts w:ascii="Open Sans" w:hAnsi="Open Sans" w:cs="Open Sans"/>
        </w:rPr>
      </w:pPr>
      <w:r w:rsidRPr="002947D9">
        <w:rPr>
          <w:rFonts w:ascii="Open Sans" w:hAnsi="Open Sans" w:cs="Open Sans"/>
          <w:u w:val="single"/>
        </w:rPr>
        <w:t>Følgende nettverk deltar i begynneropplæringstiltaket</w:t>
      </w:r>
      <w:r w:rsidRPr="002947D9">
        <w:rPr>
          <w:rFonts w:ascii="Open Sans" w:hAnsi="Open Sans" w:cs="Open Sans"/>
        </w:rPr>
        <w:br/>
        <w:t>- Gauldalsnettverket</w:t>
      </w:r>
      <w:r w:rsidRPr="002947D9">
        <w:rPr>
          <w:rFonts w:ascii="Open Sans" w:hAnsi="Open Sans" w:cs="Open Sans"/>
        </w:rPr>
        <w:br/>
        <w:t>- Fosennettverket</w:t>
      </w:r>
      <w:r w:rsidRPr="002947D9">
        <w:rPr>
          <w:rFonts w:ascii="Open Sans" w:hAnsi="Open Sans" w:cs="Open Sans"/>
        </w:rPr>
        <w:br/>
      </w:r>
      <w:r w:rsidR="00E777DA" w:rsidRPr="002947D9">
        <w:rPr>
          <w:rFonts w:ascii="Open Sans" w:hAnsi="Open Sans" w:cs="Open Sans"/>
        </w:rPr>
        <w:t xml:space="preserve">- </w:t>
      </w:r>
      <w:bookmarkStart w:id="0" w:name="_Hlk82782491"/>
      <w:r w:rsidR="00D30F25" w:rsidRPr="002947D9">
        <w:rPr>
          <w:rFonts w:ascii="Open Sans" w:hAnsi="Open Sans" w:cs="Open Sans"/>
        </w:rPr>
        <w:t xml:space="preserve">Nettverket </w:t>
      </w:r>
      <w:bookmarkEnd w:id="0"/>
      <w:r w:rsidR="00E777DA" w:rsidRPr="002947D9">
        <w:rPr>
          <w:rFonts w:ascii="Open Sans" w:hAnsi="Open Sans" w:cs="Open Sans"/>
        </w:rPr>
        <w:t>Ytre Namdal</w:t>
      </w:r>
    </w:p>
    <w:p w14:paraId="09E53D88" w14:textId="5EA363B8" w:rsidR="006C1246" w:rsidRPr="002947D9" w:rsidRDefault="006C1246" w:rsidP="003D3705">
      <w:pPr>
        <w:spacing w:after="0" w:line="240" w:lineRule="auto"/>
        <w:rPr>
          <w:rFonts w:ascii="Open Sans" w:hAnsi="Open Sans" w:cs="Open Sans"/>
        </w:rPr>
      </w:pPr>
      <w:r w:rsidRPr="002947D9">
        <w:rPr>
          <w:rFonts w:ascii="Open Sans" w:hAnsi="Open Sans" w:cs="Open Sans"/>
        </w:rPr>
        <w:t>-</w:t>
      </w:r>
      <w:r w:rsidR="00D30F25" w:rsidRPr="002947D9">
        <w:rPr>
          <w:rFonts w:ascii="Open Sans" w:hAnsi="Open Sans" w:cs="Open Sans"/>
        </w:rPr>
        <w:t xml:space="preserve"> </w:t>
      </w:r>
      <w:r w:rsidRPr="002947D9">
        <w:rPr>
          <w:rFonts w:ascii="Open Sans" w:hAnsi="Open Sans" w:cs="Open Sans"/>
        </w:rPr>
        <w:t>Innherredsnettverket</w:t>
      </w:r>
      <w:r w:rsidR="00E777DA" w:rsidRPr="002947D9">
        <w:rPr>
          <w:rFonts w:ascii="Open Sans" w:hAnsi="Open Sans" w:cs="Open Sans"/>
        </w:rPr>
        <w:t xml:space="preserve"> </w:t>
      </w:r>
    </w:p>
    <w:p w14:paraId="486EE874" w14:textId="5DB6D598" w:rsidR="003D3705" w:rsidRPr="002947D9" w:rsidRDefault="006C1246" w:rsidP="003D3705">
      <w:pPr>
        <w:spacing w:after="0" w:line="240" w:lineRule="auto"/>
        <w:rPr>
          <w:rFonts w:ascii="Open Sans" w:hAnsi="Open Sans" w:cs="Open Sans"/>
        </w:rPr>
      </w:pPr>
      <w:r w:rsidRPr="002947D9">
        <w:rPr>
          <w:rFonts w:ascii="Open Sans" w:hAnsi="Open Sans" w:cs="Open Sans"/>
        </w:rPr>
        <w:t>-</w:t>
      </w:r>
      <w:r w:rsidR="00D30F25" w:rsidRPr="002947D9">
        <w:rPr>
          <w:rFonts w:ascii="Open Sans" w:hAnsi="Open Sans" w:cs="Open Sans"/>
        </w:rPr>
        <w:t xml:space="preserve"> Nettverket </w:t>
      </w:r>
      <w:r w:rsidR="00E777DA" w:rsidRPr="002947D9">
        <w:rPr>
          <w:rFonts w:ascii="Open Sans" w:hAnsi="Open Sans" w:cs="Open Sans"/>
        </w:rPr>
        <w:t>Indre Namdal</w:t>
      </w:r>
      <w:r w:rsidR="00E777DA" w:rsidRPr="002947D9">
        <w:rPr>
          <w:rFonts w:ascii="Open Sans" w:hAnsi="Open Sans" w:cs="Open Sans"/>
        </w:rPr>
        <w:br/>
        <w:t>- Værnes</w:t>
      </w:r>
      <w:r w:rsidR="00D30F25" w:rsidRPr="002947D9">
        <w:rPr>
          <w:rFonts w:ascii="Open Sans" w:hAnsi="Open Sans" w:cs="Open Sans"/>
        </w:rPr>
        <w:t>nettverket</w:t>
      </w:r>
    </w:p>
    <w:p w14:paraId="75EBC4E4" w14:textId="14E1EC16" w:rsidR="00E777DA" w:rsidRPr="002947D9" w:rsidRDefault="00E777DA" w:rsidP="00E777DA">
      <w:pPr>
        <w:spacing w:after="0" w:line="240" w:lineRule="auto"/>
        <w:rPr>
          <w:rFonts w:ascii="Open Sans" w:hAnsi="Open Sans" w:cs="Open Sans"/>
        </w:rPr>
      </w:pPr>
      <w:r w:rsidRPr="002947D9">
        <w:rPr>
          <w:rFonts w:ascii="Open Sans" w:hAnsi="Open Sans" w:cs="Open Sans"/>
        </w:rPr>
        <w:lastRenderedPageBreak/>
        <w:t>-</w:t>
      </w:r>
      <w:r w:rsidR="00D30F25" w:rsidRPr="002947D9">
        <w:rPr>
          <w:rFonts w:ascii="Open Sans" w:hAnsi="Open Sans" w:cs="Open Sans"/>
        </w:rPr>
        <w:t xml:space="preserve"> Nettverket </w:t>
      </w:r>
      <w:r w:rsidRPr="002947D9">
        <w:rPr>
          <w:rFonts w:ascii="Open Sans" w:hAnsi="Open Sans" w:cs="Open Sans"/>
        </w:rPr>
        <w:t>Verdal og Levanger</w:t>
      </w:r>
      <w:r w:rsidRPr="002947D9">
        <w:rPr>
          <w:rFonts w:ascii="Open Sans" w:hAnsi="Open Sans" w:cs="Open Sans"/>
        </w:rPr>
        <w:br/>
      </w:r>
      <w:r w:rsidR="00D30F25" w:rsidRPr="002947D9">
        <w:rPr>
          <w:rFonts w:ascii="Open Sans" w:hAnsi="Open Sans" w:cs="Open Sans"/>
        </w:rPr>
        <w:t xml:space="preserve">- Nettverket </w:t>
      </w:r>
      <w:r w:rsidRPr="002947D9">
        <w:rPr>
          <w:rFonts w:ascii="Open Sans" w:hAnsi="Open Sans" w:cs="Open Sans"/>
        </w:rPr>
        <w:t xml:space="preserve">Trøndelag </w:t>
      </w:r>
      <w:r w:rsidR="0015778C">
        <w:rPr>
          <w:rFonts w:ascii="Open Sans" w:hAnsi="Open Sans" w:cs="Open Sans"/>
        </w:rPr>
        <w:t>s</w:t>
      </w:r>
      <w:r w:rsidRPr="002947D9">
        <w:rPr>
          <w:rFonts w:ascii="Open Sans" w:hAnsi="Open Sans" w:cs="Open Sans"/>
        </w:rPr>
        <w:t>ør</w:t>
      </w:r>
      <w:r w:rsidR="0015778C">
        <w:rPr>
          <w:rFonts w:ascii="Open Sans" w:hAnsi="Open Sans" w:cs="Open Sans"/>
        </w:rPr>
        <w:t>v</w:t>
      </w:r>
      <w:r w:rsidRPr="002947D9">
        <w:rPr>
          <w:rFonts w:ascii="Open Sans" w:hAnsi="Open Sans" w:cs="Open Sans"/>
        </w:rPr>
        <w:t>est</w:t>
      </w:r>
      <w:r w:rsidRPr="002947D9">
        <w:rPr>
          <w:rFonts w:ascii="Open Sans" w:hAnsi="Open Sans" w:cs="Open Sans"/>
        </w:rPr>
        <w:br/>
      </w:r>
    </w:p>
    <w:p w14:paraId="61D88746" w14:textId="35BDD122" w:rsidR="003D3705" w:rsidRPr="002947D9" w:rsidRDefault="003D3705" w:rsidP="003D3705">
      <w:pPr>
        <w:spacing w:after="0" w:line="240" w:lineRule="auto"/>
        <w:rPr>
          <w:rFonts w:ascii="Open Sans" w:hAnsi="Open Sans" w:cs="Open Sans"/>
        </w:rPr>
      </w:pPr>
      <w:r w:rsidRPr="002947D9">
        <w:rPr>
          <w:rFonts w:ascii="Open Sans" w:hAnsi="Open Sans" w:cs="Open Sans"/>
          <w:u w:val="single"/>
        </w:rPr>
        <w:t>Følgende nettverk deltar i</w:t>
      </w:r>
      <w:r w:rsidR="006C1246" w:rsidRPr="002947D9">
        <w:rPr>
          <w:rFonts w:ascii="Open Sans" w:hAnsi="Open Sans" w:cs="Open Sans"/>
          <w:u w:val="single"/>
        </w:rPr>
        <w:t xml:space="preserve"> tiltaket L</w:t>
      </w:r>
      <w:r w:rsidRPr="002947D9">
        <w:rPr>
          <w:rFonts w:ascii="Open Sans" w:hAnsi="Open Sans" w:cs="Open Sans"/>
          <w:u w:val="single"/>
        </w:rPr>
        <w:t>æreplan</w:t>
      </w:r>
      <w:r w:rsidR="006C1246" w:rsidRPr="002947D9">
        <w:rPr>
          <w:rFonts w:ascii="Open Sans" w:hAnsi="Open Sans" w:cs="Open Sans"/>
          <w:u w:val="single"/>
        </w:rPr>
        <w:t xml:space="preserve"> og vurdering (pulje 1)</w:t>
      </w:r>
      <w:r w:rsidRPr="002947D9">
        <w:rPr>
          <w:rFonts w:ascii="Open Sans" w:hAnsi="Open Sans" w:cs="Open Sans"/>
        </w:rPr>
        <w:br/>
        <w:t xml:space="preserve">- </w:t>
      </w:r>
      <w:r w:rsidR="00D30F25" w:rsidRPr="002947D9">
        <w:rPr>
          <w:rFonts w:ascii="Open Sans" w:hAnsi="Open Sans" w:cs="Open Sans"/>
        </w:rPr>
        <w:t xml:space="preserve">Nettverket </w:t>
      </w:r>
      <w:r w:rsidR="006C1246" w:rsidRPr="002947D9">
        <w:rPr>
          <w:rFonts w:ascii="Open Sans" w:hAnsi="Open Sans" w:cs="Open Sans"/>
        </w:rPr>
        <w:t>Ytre Namdal</w:t>
      </w:r>
    </w:p>
    <w:p w14:paraId="1EAAF3F9" w14:textId="5BD85C50" w:rsidR="006C1246" w:rsidRDefault="006C1246" w:rsidP="003D3705">
      <w:pPr>
        <w:spacing w:after="0" w:line="240" w:lineRule="auto"/>
        <w:rPr>
          <w:rFonts w:ascii="Open Sans" w:hAnsi="Open Sans" w:cs="Open Sans"/>
        </w:rPr>
      </w:pPr>
      <w:r w:rsidRPr="002947D9">
        <w:rPr>
          <w:rFonts w:ascii="Open Sans" w:hAnsi="Open Sans" w:cs="Open Sans"/>
        </w:rPr>
        <w:t>-</w:t>
      </w:r>
      <w:r w:rsidR="00D30F25" w:rsidRPr="002947D9">
        <w:rPr>
          <w:rFonts w:ascii="Open Sans" w:hAnsi="Open Sans" w:cs="Open Sans"/>
        </w:rPr>
        <w:t xml:space="preserve"> Nettverket </w:t>
      </w:r>
      <w:r w:rsidRPr="002947D9">
        <w:rPr>
          <w:rFonts w:ascii="Open Sans" w:hAnsi="Open Sans" w:cs="Open Sans"/>
        </w:rPr>
        <w:t>Midtre Namdal</w:t>
      </w:r>
      <w:r w:rsidRPr="002947D9">
        <w:rPr>
          <w:rFonts w:ascii="Open Sans" w:hAnsi="Open Sans" w:cs="Open Sans"/>
        </w:rPr>
        <w:br/>
        <w:t>-</w:t>
      </w:r>
      <w:r w:rsidR="00D30F25" w:rsidRPr="002947D9">
        <w:rPr>
          <w:rFonts w:ascii="Open Sans" w:hAnsi="Open Sans" w:cs="Open Sans"/>
        </w:rPr>
        <w:t xml:space="preserve"> Nettverket</w:t>
      </w:r>
      <w:r w:rsidR="001F7EEE" w:rsidRPr="002947D9">
        <w:rPr>
          <w:rFonts w:ascii="Open Sans" w:hAnsi="Open Sans" w:cs="Open Sans"/>
        </w:rPr>
        <w:t xml:space="preserve"> </w:t>
      </w:r>
      <w:r w:rsidRPr="002947D9">
        <w:rPr>
          <w:rFonts w:ascii="Open Sans" w:hAnsi="Open Sans" w:cs="Open Sans"/>
        </w:rPr>
        <w:t>Trondheim og Malvik</w:t>
      </w:r>
    </w:p>
    <w:p w14:paraId="165A4D05" w14:textId="6C52D64A" w:rsidR="002947D9" w:rsidRDefault="002947D9" w:rsidP="003D3705">
      <w:pPr>
        <w:spacing w:after="0" w:line="240" w:lineRule="auto"/>
        <w:rPr>
          <w:rFonts w:ascii="Open Sans" w:hAnsi="Open Sans" w:cs="Open Sans"/>
        </w:rPr>
      </w:pPr>
      <w:r>
        <w:rPr>
          <w:rFonts w:ascii="Open Sans" w:hAnsi="Open Sans" w:cs="Open Sans"/>
        </w:rPr>
        <w:t xml:space="preserve">- Nettverket Trøndelag </w:t>
      </w:r>
      <w:r w:rsidR="00E36510">
        <w:rPr>
          <w:rFonts w:ascii="Open Sans" w:hAnsi="Open Sans" w:cs="Open Sans"/>
        </w:rPr>
        <w:t>sørvest</w:t>
      </w:r>
      <w:r>
        <w:rPr>
          <w:rFonts w:ascii="Open Sans" w:hAnsi="Open Sans" w:cs="Open Sans"/>
        </w:rPr>
        <w:br/>
        <w:t>- Nettverket Levanger/Verdal</w:t>
      </w:r>
    </w:p>
    <w:p w14:paraId="59F27A0D" w14:textId="14B5C8BA" w:rsidR="0015778C" w:rsidRPr="002947D9" w:rsidRDefault="009207D3" w:rsidP="003D3705">
      <w:pPr>
        <w:spacing w:after="0" w:line="240" w:lineRule="auto"/>
        <w:rPr>
          <w:rFonts w:ascii="Open Sans" w:hAnsi="Open Sans" w:cs="Open Sans"/>
        </w:rPr>
      </w:pPr>
      <w:r>
        <w:rPr>
          <w:rFonts w:ascii="Open Sans" w:hAnsi="Open Sans" w:cs="Open Sans"/>
        </w:rPr>
        <w:t>- Gauldalsnettverket</w:t>
      </w:r>
    </w:p>
    <w:p w14:paraId="3D2C9FB9" w14:textId="6B2B543F" w:rsidR="006C1246" w:rsidRDefault="006C1246" w:rsidP="003D3705">
      <w:pPr>
        <w:spacing w:after="0" w:line="240" w:lineRule="auto"/>
        <w:rPr>
          <w:rFonts w:ascii="Open Sans" w:hAnsi="Open Sans" w:cs="Open Sans"/>
        </w:rPr>
      </w:pPr>
    </w:p>
    <w:p w14:paraId="3E315531" w14:textId="57BE6308" w:rsidR="009207D3" w:rsidRDefault="009207D3" w:rsidP="003D3705">
      <w:pPr>
        <w:spacing w:after="0" w:line="240" w:lineRule="auto"/>
        <w:rPr>
          <w:rFonts w:ascii="Open Sans" w:hAnsi="Open Sans" w:cs="Open Sans"/>
        </w:rPr>
      </w:pPr>
      <w:r w:rsidRPr="002947D9">
        <w:rPr>
          <w:rFonts w:ascii="Open Sans" w:hAnsi="Open Sans" w:cs="Open Sans"/>
          <w:u w:val="single"/>
        </w:rPr>
        <w:t xml:space="preserve">Følgende nettverk deltar i tiltaket Læreplan og vurdering (pulje </w:t>
      </w:r>
      <w:r>
        <w:rPr>
          <w:rFonts w:ascii="Open Sans" w:hAnsi="Open Sans" w:cs="Open Sans"/>
          <w:u w:val="single"/>
        </w:rPr>
        <w:t>2</w:t>
      </w:r>
      <w:r w:rsidRPr="002947D9">
        <w:rPr>
          <w:rFonts w:ascii="Open Sans" w:hAnsi="Open Sans" w:cs="Open Sans"/>
          <w:u w:val="single"/>
        </w:rPr>
        <w:t>)</w:t>
      </w:r>
    </w:p>
    <w:p w14:paraId="570B8100" w14:textId="2EE724EE" w:rsidR="0015778C" w:rsidRPr="004D050D" w:rsidRDefault="009207D3" w:rsidP="004D050D">
      <w:pPr>
        <w:pStyle w:val="Listeavsnitt"/>
        <w:numPr>
          <w:ilvl w:val="0"/>
          <w:numId w:val="9"/>
        </w:numPr>
        <w:spacing w:after="0" w:line="240" w:lineRule="auto"/>
        <w:rPr>
          <w:rFonts w:ascii="Open Sans" w:hAnsi="Open Sans" w:cs="Open Sans"/>
        </w:rPr>
      </w:pPr>
      <w:r w:rsidRPr="004D050D">
        <w:rPr>
          <w:rFonts w:ascii="Open Sans" w:hAnsi="Open Sans" w:cs="Open Sans"/>
        </w:rPr>
        <w:t>Værnesnettverket</w:t>
      </w:r>
    </w:p>
    <w:p w14:paraId="6FCCAC6D" w14:textId="1CAF7B90" w:rsidR="009207D3" w:rsidRPr="004D050D" w:rsidRDefault="009207D3" w:rsidP="004D050D">
      <w:pPr>
        <w:pStyle w:val="Listeavsnitt"/>
        <w:numPr>
          <w:ilvl w:val="0"/>
          <w:numId w:val="9"/>
        </w:numPr>
        <w:spacing w:after="0" w:line="240" w:lineRule="auto"/>
        <w:rPr>
          <w:rFonts w:ascii="Open Sans" w:hAnsi="Open Sans" w:cs="Open Sans"/>
        </w:rPr>
      </w:pPr>
      <w:r w:rsidRPr="004D050D">
        <w:rPr>
          <w:rFonts w:ascii="Open Sans" w:hAnsi="Open Sans" w:cs="Open Sans"/>
        </w:rPr>
        <w:t>Fosennettverket</w:t>
      </w:r>
      <w:r w:rsidRPr="004D050D">
        <w:rPr>
          <w:rFonts w:ascii="Open Sans" w:hAnsi="Open Sans" w:cs="Open Sans"/>
        </w:rPr>
        <w:br/>
        <w:t>Innherredsnettverket</w:t>
      </w:r>
      <w:r w:rsidRPr="004D050D">
        <w:rPr>
          <w:rFonts w:ascii="Open Sans" w:hAnsi="Open Sans" w:cs="Open Sans"/>
        </w:rPr>
        <w:br/>
        <w:t>Nettverket Indre Namdal</w:t>
      </w:r>
    </w:p>
    <w:p w14:paraId="2B5F2E12" w14:textId="1323FAEA" w:rsidR="009207D3" w:rsidRPr="004D050D" w:rsidRDefault="009207D3" w:rsidP="004D050D">
      <w:pPr>
        <w:pStyle w:val="Listeavsnitt"/>
        <w:numPr>
          <w:ilvl w:val="0"/>
          <w:numId w:val="9"/>
        </w:numPr>
        <w:spacing w:after="0" w:line="240" w:lineRule="auto"/>
        <w:rPr>
          <w:rFonts w:ascii="Open Sans" w:hAnsi="Open Sans" w:cs="Open Sans"/>
        </w:rPr>
      </w:pPr>
      <w:r w:rsidRPr="004D050D">
        <w:rPr>
          <w:rFonts w:ascii="Open Sans" w:hAnsi="Open Sans" w:cs="Open Sans"/>
        </w:rPr>
        <w:t>Nettverket Trondheim og Malvik</w:t>
      </w:r>
    </w:p>
    <w:p w14:paraId="7D7720A8" w14:textId="2E1B3377" w:rsidR="009207D3" w:rsidRPr="004D050D" w:rsidRDefault="009207D3" w:rsidP="004D050D">
      <w:pPr>
        <w:pStyle w:val="Listeavsnitt"/>
        <w:numPr>
          <w:ilvl w:val="0"/>
          <w:numId w:val="9"/>
        </w:numPr>
        <w:spacing w:after="0" w:line="240" w:lineRule="auto"/>
        <w:rPr>
          <w:rFonts w:ascii="Open Sans" w:hAnsi="Open Sans" w:cs="Open Sans"/>
        </w:rPr>
      </w:pPr>
      <w:r w:rsidRPr="004D050D">
        <w:rPr>
          <w:rFonts w:ascii="Open Sans" w:hAnsi="Open Sans" w:cs="Open Sans"/>
        </w:rPr>
        <w:t xml:space="preserve">Nettverket Trøndelag </w:t>
      </w:r>
      <w:r w:rsidR="00E36510" w:rsidRPr="004D050D">
        <w:rPr>
          <w:rFonts w:ascii="Open Sans" w:hAnsi="Open Sans" w:cs="Open Sans"/>
        </w:rPr>
        <w:t>sørvest</w:t>
      </w:r>
      <w:r w:rsidRPr="004D050D">
        <w:rPr>
          <w:rFonts w:ascii="Open Sans" w:hAnsi="Open Sans" w:cs="Open Sans"/>
        </w:rPr>
        <w:br/>
        <w:t>Nettverket Levanger/Verdal</w:t>
      </w:r>
    </w:p>
    <w:p w14:paraId="037E9D24" w14:textId="77777777" w:rsidR="009207D3" w:rsidRPr="009207D3" w:rsidRDefault="009207D3" w:rsidP="009207D3">
      <w:pPr>
        <w:spacing w:after="0" w:line="240" w:lineRule="auto"/>
        <w:rPr>
          <w:rFonts w:ascii="Open Sans" w:hAnsi="Open Sans" w:cs="Open Sans"/>
        </w:rPr>
      </w:pPr>
    </w:p>
    <w:p w14:paraId="489F2E9D" w14:textId="1861BFAC" w:rsidR="003D3705" w:rsidRPr="002947D9" w:rsidRDefault="003D3705" w:rsidP="003D3705">
      <w:pPr>
        <w:spacing w:after="0" w:line="240" w:lineRule="auto"/>
        <w:rPr>
          <w:rFonts w:ascii="Open Sans" w:hAnsi="Open Sans" w:cs="Open Sans"/>
          <w:b/>
        </w:rPr>
      </w:pPr>
      <w:r w:rsidRPr="002947D9">
        <w:rPr>
          <w:rFonts w:ascii="Open Sans" w:hAnsi="Open Sans" w:cs="Open Sans"/>
          <w:b/>
        </w:rPr>
        <w:t>Evaluering</w:t>
      </w:r>
    </w:p>
    <w:p w14:paraId="3D3153EA" w14:textId="154E7385" w:rsidR="003D3705" w:rsidRPr="002947D9" w:rsidRDefault="003D3705" w:rsidP="00E777DA">
      <w:pPr>
        <w:spacing w:after="0" w:line="240" w:lineRule="auto"/>
        <w:rPr>
          <w:rFonts w:ascii="Open Sans" w:hAnsi="Open Sans" w:cs="Open Sans"/>
          <w:strike/>
        </w:rPr>
      </w:pPr>
      <w:r w:rsidRPr="002947D9">
        <w:rPr>
          <w:rFonts w:ascii="Open Sans" w:hAnsi="Open Sans" w:cs="Open Sans"/>
        </w:rPr>
        <w:t>Partnerskapene (UH og skoleeierne i kompetansenettverkene) skal samarbeide om å evaluere kompetansetiltakene og vurdere måloppnåelsen. Samarbeidsforum gjør en årlig vurdering basert på partnerskapenes rapporteringer</w:t>
      </w:r>
      <w:r w:rsidR="00103137">
        <w:rPr>
          <w:rFonts w:ascii="Open Sans" w:hAnsi="Open Sans" w:cs="Open Sans"/>
        </w:rPr>
        <w:t xml:space="preserve">, </w:t>
      </w:r>
      <w:r w:rsidR="005D163A">
        <w:rPr>
          <w:rFonts w:ascii="Open Sans" w:hAnsi="Open Sans" w:cs="Open Sans"/>
        </w:rPr>
        <w:t>og</w:t>
      </w:r>
      <w:r w:rsidR="00103137">
        <w:rPr>
          <w:rFonts w:ascii="Open Sans" w:hAnsi="Open Sans" w:cs="Open Sans"/>
        </w:rPr>
        <w:t xml:space="preserve"> på grunnlag av rapporter fra følgeforskningen</w:t>
      </w:r>
      <w:r w:rsidR="00CE34C9">
        <w:rPr>
          <w:rFonts w:ascii="Open Sans" w:hAnsi="Open Sans" w:cs="Open Sans"/>
        </w:rPr>
        <w:t>.</w:t>
      </w:r>
      <w:r w:rsidR="00103137">
        <w:rPr>
          <w:rStyle w:val="Fotnotereferanse"/>
          <w:rFonts w:ascii="Open Sans" w:hAnsi="Open Sans" w:cs="Open Sans"/>
        </w:rPr>
        <w:footnoteReference w:id="1"/>
      </w:r>
    </w:p>
    <w:p w14:paraId="286D0B7B" w14:textId="77777777" w:rsidR="003D3705" w:rsidRPr="002947D9" w:rsidRDefault="003D3705" w:rsidP="003D3705">
      <w:pPr>
        <w:spacing w:after="0" w:line="240" w:lineRule="auto"/>
        <w:rPr>
          <w:rFonts w:ascii="Open Sans" w:hAnsi="Open Sans" w:cs="Open Sans"/>
        </w:rPr>
      </w:pPr>
    </w:p>
    <w:p w14:paraId="006C0E6D" w14:textId="54C7F314" w:rsidR="00E777DA" w:rsidRPr="002947D9" w:rsidRDefault="00E777DA">
      <w:pPr>
        <w:rPr>
          <w:rFonts w:ascii="Open Sans" w:hAnsi="Open Sans" w:cs="Open Sans"/>
        </w:rPr>
      </w:pPr>
      <w:r w:rsidRPr="002947D9">
        <w:rPr>
          <w:rFonts w:ascii="Open Sans" w:hAnsi="Open Sans" w:cs="Open Sans"/>
        </w:rPr>
        <w:t xml:space="preserve">Vedlegg 1 </w:t>
      </w:r>
      <w:r w:rsidRPr="002947D9">
        <w:rPr>
          <w:rFonts w:ascii="Open Sans" w:hAnsi="Open Sans" w:cs="Open Sans"/>
        </w:rPr>
        <w:tab/>
        <w:t>Tidlig innsats (fellestiltak 1 i Dekom)</w:t>
      </w:r>
    </w:p>
    <w:p w14:paraId="19269A21" w14:textId="2C62CB56" w:rsidR="00E777DA" w:rsidRDefault="00E777DA">
      <w:pPr>
        <w:rPr>
          <w:rFonts w:ascii="Open Sans" w:hAnsi="Open Sans" w:cs="Open Sans"/>
        </w:rPr>
      </w:pPr>
      <w:r w:rsidRPr="002947D9">
        <w:rPr>
          <w:rFonts w:ascii="Open Sans" w:hAnsi="Open Sans" w:cs="Open Sans"/>
        </w:rPr>
        <w:t xml:space="preserve">Vedlegg 2 </w:t>
      </w:r>
      <w:r w:rsidRPr="002947D9">
        <w:rPr>
          <w:rFonts w:ascii="Open Sans" w:hAnsi="Open Sans" w:cs="Open Sans"/>
        </w:rPr>
        <w:tab/>
        <w:t>Læreplan og vurdering (fellestiltak 2 i Dekom)</w:t>
      </w:r>
    </w:p>
    <w:p w14:paraId="651F7017" w14:textId="021C17FF" w:rsidR="00BA72E9" w:rsidRDefault="00BA72E9">
      <w:pPr>
        <w:rPr>
          <w:rFonts w:ascii="Open Sans" w:hAnsi="Open Sans" w:cs="Open Sans"/>
        </w:rPr>
      </w:pPr>
    </w:p>
    <w:p w14:paraId="0AD14BDC" w14:textId="1A57EF93" w:rsidR="00BA72E9" w:rsidRDefault="00BA72E9">
      <w:pPr>
        <w:rPr>
          <w:rFonts w:ascii="Open Sans" w:hAnsi="Open Sans" w:cs="Open Sans"/>
        </w:rPr>
      </w:pPr>
    </w:p>
    <w:p w14:paraId="3A8E8ACC" w14:textId="096F8BBE" w:rsidR="00BA72E9" w:rsidRDefault="00BA72E9">
      <w:pPr>
        <w:rPr>
          <w:rFonts w:ascii="Open Sans" w:hAnsi="Open Sans" w:cs="Open Sans"/>
        </w:rPr>
      </w:pPr>
    </w:p>
    <w:p w14:paraId="1750A8BB" w14:textId="0C65C3F6" w:rsidR="00BA72E9" w:rsidRDefault="00BA72E9">
      <w:pPr>
        <w:rPr>
          <w:rFonts w:ascii="Open Sans" w:hAnsi="Open Sans" w:cs="Open Sans"/>
        </w:rPr>
      </w:pPr>
    </w:p>
    <w:p w14:paraId="371B666C" w14:textId="3134FD99" w:rsidR="00BA72E9" w:rsidRDefault="00BA72E9">
      <w:pPr>
        <w:rPr>
          <w:rFonts w:ascii="Open Sans" w:hAnsi="Open Sans" w:cs="Open Sans"/>
        </w:rPr>
      </w:pPr>
    </w:p>
    <w:p w14:paraId="58F1B18B" w14:textId="4B350EF7" w:rsidR="00BA72E9" w:rsidRDefault="00BA72E9">
      <w:pPr>
        <w:rPr>
          <w:rFonts w:ascii="Open Sans" w:hAnsi="Open Sans" w:cs="Open Sans"/>
        </w:rPr>
      </w:pPr>
    </w:p>
    <w:p w14:paraId="4D8C0208" w14:textId="0F36C0C1" w:rsidR="00BA72E9" w:rsidRDefault="00BA72E9">
      <w:pPr>
        <w:rPr>
          <w:rFonts w:ascii="Open Sans" w:hAnsi="Open Sans" w:cs="Open Sans"/>
        </w:rPr>
      </w:pPr>
    </w:p>
    <w:p w14:paraId="428D6968" w14:textId="46118496" w:rsidR="00BA72E9" w:rsidRDefault="00BA72E9">
      <w:pPr>
        <w:rPr>
          <w:rFonts w:ascii="Open Sans" w:hAnsi="Open Sans" w:cs="Open Sans"/>
        </w:rPr>
      </w:pPr>
    </w:p>
    <w:p w14:paraId="2918451C" w14:textId="23201C1D" w:rsidR="00BA72E9" w:rsidRDefault="00BA72E9">
      <w:pPr>
        <w:rPr>
          <w:rFonts w:ascii="Open Sans" w:hAnsi="Open Sans" w:cs="Open Sans"/>
        </w:rPr>
      </w:pPr>
    </w:p>
    <w:p w14:paraId="21E34F51" w14:textId="49CB7A41" w:rsidR="00BA72E9" w:rsidRDefault="00BA72E9">
      <w:pPr>
        <w:rPr>
          <w:rFonts w:ascii="Open Sans" w:hAnsi="Open Sans" w:cs="Open Sans"/>
        </w:rPr>
      </w:pPr>
      <w:r>
        <w:rPr>
          <w:rFonts w:ascii="Open Sans" w:hAnsi="Open Sans" w:cs="Open Sans"/>
        </w:rPr>
        <w:lastRenderedPageBreak/>
        <w:t>Vedlegg 1</w:t>
      </w:r>
    </w:p>
    <w:p w14:paraId="6C407FEC" w14:textId="7C402F3F" w:rsidR="00BA72E9" w:rsidRPr="00BA72E9" w:rsidRDefault="00BA72E9" w:rsidP="00BA72E9">
      <w:pPr>
        <w:pStyle w:val="Sterktsitat"/>
        <w:pBdr>
          <w:bottom w:val="single" w:sz="4" w:space="0" w:color="4472C4" w:themeColor="accent1"/>
        </w:pBdr>
        <w:rPr>
          <w:rFonts w:ascii="Open Sans" w:hAnsi="Open Sans" w:cs="Open Sans"/>
        </w:rPr>
      </w:pPr>
      <w:r w:rsidRPr="00BA72E9">
        <w:rPr>
          <w:rFonts w:ascii="Open Sans" w:hAnsi="Open Sans" w:cs="Open Sans"/>
          <w:sz w:val="28"/>
          <w:szCs w:val="28"/>
        </w:rPr>
        <w:t>Tidlig innsats i begynneropplæringen</w:t>
      </w:r>
      <w:r w:rsidRPr="00BA72E9">
        <w:rPr>
          <w:rFonts w:ascii="Open Sans" w:hAnsi="Open Sans" w:cs="Open Sans"/>
        </w:rPr>
        <w:br/>
      </w:r>
    </w:p>
    <w:p w14:paraId="4728537D" w14:textId="6BF46114" w:rsidR="00BA72E9" w:rsidRPr="00BA72E9" w:rsidRDefault="00BA72E9" w:rsidP="00BA72E9">
      <w:pPr>
        <w:rPr>
          <w:rFonts w:ascii="Open Sans" w:eastAsia="Calibri" w:hAnsi="Open Sans" w:cs="Open Sans"/>
          <w:b/>
          <w:bCs/>
        </w:rPr>
      </w:pPr>
      <w:r w:rsidRPr="00BA72E9">
        <w:rPr>
          <w:rFonts w:ascii="Open Sans" w:eastAsia="Calibri" w:hAnsi="Open Sans" w:cs="Open Sans"/>
          <w:b/>
          <w:bCs/>
        </w:rPr>
        <w:t>Tidlig innsats i begynneropplæringen</w:t>
      </w:r>
      <w:r>
        <w:rPr>
          <w:rFonts w:ascii="Open Sans" w:eastAsia="Calibri" w:hAnsi="Open Sans" w:cs="Open Sans"/>
          <w:b/>
          <w:bCs/>
        </w:rPr>
        <w:t xml:space="preserve"> - </w:t>
      </w:r>
      <w:r w:rsidRPr="00BA72E9">
        <w:rPr>
          <w:rFonts w:ascii="Open Sans" w:eastAsia="Calibri" w:hAnsi="Open Sans" w:cs="Open Sans"/>
          <w:b/>
          <w:bCs/>
        </w:rPr>
        <w:t xml:space="preserve">Læring og undervisning på første og andre </w:t>
      </w:r>
      <w:proofErr w:type="spellStart"/>
      <w:r w:rsidRPr="00BA72E9">
        <w:rPr>
          <w:rFonts w:ascii="Open Sans" w:eastAsia="Calibri" w:hAnsi="Open Sans" w:cs="Open Sans"/>
          <w:b/>
          <w:bCs/>
        </w:rPr>
        <w:t>årstrinn</w:t>
      </w:r>
      <w:proofErr w:type="spellEnd"/>
      <w:r w:rsidRPr="00BA72E9">
        <w:rPr>
          <w:rFonts w:ascii="Open Sans" w:eastAsia="Calibri" w:hAnsi="Open Sans" w:cs="Open Sans"/>
          <w:b/>
          <w:bCs/>
        </w:rPr>
        <w:t xml:space="preserve">. </w:t>
      </w:r>
      <w:r w:rsidRPr="00BA72E9">
        <w:rPr>
          <w:rFonts w:ascii="Open Sans" w:eastAsia="Calibri" w:hAnsi="Open Sans" w:cs="Open Sans"/>
        </w:rPr>
        <w:t xml:space="preserve">Stortingsmelding 21/ 2016-2017 understreker viktigheten av at elever lærer, mestrer og opplever motivasjon og lærelyst gjennom hele skoleløpet. Opplæringen de første skoleårene er viktig i og med at elevene her utvikler de grunnleggende ferdighetene som de trenger for videre læring. Dette er bakgrunnen for en ny bestemmelse i 2018: </w:t>
      </w:r>
      <w:r w:rsidRPr="00BA72E9">
        <w:rPr>
          <w:rFonts w:ascii="Open Sans" w:eastAsia="Calibri" w:hAnsi="Open Sans" w:cs="Open Sans"/>
        </w:rPr>
        <w:br/>
      </w:r>
      <w:r w:rsidRPr="00BA72E9">
        <w:rPr>
          <w:rFonts w:ascii="Open Sans" w:eastAsia="Calibri" w:hAnsi="Open Sans" w:cs="Open Sans"/>
        </w:rPr>
        <w:br/>
      </w:r>
      <w:r w:rsidRPr="00BA72E9">
        <w:rPr>
          <w:rFonts w:ascii="Open Sans" w:eastAsia="Calibri" w:hAnsi="Open Sans" w:cs="Open Sans"/>
          <w:i/>
          <w:iCs/>
        </w:rPr>
        <w:t xml:space="preserve">“§ 1-4. </w:t>
      </w:r>
      <w:proofErr w:type="spellStart"/>
      <w:r w:rsidRPr="00BA72E9">
        <w:rPr>
          <w:rFonts w:ascii="Open Sans" w:eastAsia="Calibri" w:hAnsi="Open Sans" w:cs="Open Sans"/>
          <w:i/>
          <w:iCs/>
        </w:rPr>
        <w:t>Tidleg</w:t>
      </w:r>
      <w:proofErr w:type="spellEnd"/>
      <w:r w:rsidRPr="00BA72E9">
        <w:rPr>
          <w:rFonts w:ascii="Open Sans" w:eastAsia="Calibri" w:hAnsi="Open Sans" w:cs="Open Sans"/>
          <w:i/>
          <w:iCs/>
        </w:rPr>
        <w:t xml:space="preserve"> innsats på 1. til 4. trinn: På 1. til 4. </w:t>
      </w:r>
      <w:proofErr w:type="spellStart"/>
      <w:r w:rsidRPr="00BA72E9">
        <w:rPr>
          <w:rFonts w:ascii="Open Sans" w:eastAsia="Calibri" w:hAnsi="Open Sans" w:cs="Open Sans"/>
          <w:i/>
          <w:iCs/>
        </w:rPr>
        <w:t>årstrinn</w:t>
      </w:r>
      <w:proofErr w:type="spellEnd"/>
      <w:r w:rsidRPr="00BA72E9">
        <w:rPr>
          <w:rFonts w:ascii="Open Sans" w:eastAsia="Calibri" w:hAnsi="Open Sans" w:cs="Open Sans"/>
          <w:i/>
          <w:iCs/>
        </w:rPr>
        <w:t xml:space="preserve"> skal skolen </w:t>
      </w:r>
      <w:proofErr w:type="spellStart"/>
      <w:r w:rsidRPr="00BA72E9">
        <w:rPr>
          <w:rFonts w:ascii="Open Sans" w:eastAsia="Calibri" w:hAnsi="Open Sans" w:cs="Open Sans"/>
          <w:i/>
          <w:iCs/>
        </w:rPr>
        <w:t>sørgje</w:t>
      </w:r>
      <w:proofErr w:type="spellEnd"/>
      <w:r w:rsidRPr="00BA72E9">
        <w:rPr>
          <w:rFonts w:ascii="Open Sans" w:eastAsia="Calibri" w:hAnsi="Open Sans" w:cs="Open Sans"/>
          <w:i/>
          <w:iCs/>
        </w:rPr>
        <w:t xml:space="preserve"> for at </w:t>
      </w:r>
      <w:proofErr w:type="spellStart"/>
      <w:r w:rsidRPr="00BA72E9">
        <w:rPr>
          <w:rFonts w:ascii="Open Sans" w:eastAsia="Calibri" w:hAnsi="Open Sans" w:cs="Open Sans"/>
          <w:i/>
          <w:iCs/>
        </w:rPr>
        <w:t>elevar</w:t>
      </w:r>
      <w:proofErr w:type="spellEnd"/>
      <w:r w:rsidRPr="00BA72E9">
        <w:rPr>
          <w:rFonts w:ascii="Open Sans" w:eastAsia="Calibri" w:hAnsi="Open Sans" w:cs="Open Sans"/>
          <w:i/>
          <w:iCs/>
        </w:rPr>
        <w:t xml:space="preserve"> som står i fare for å bli </w:t>
      </w:r>
      <w:proofErr w:type="spellStart"/>
      <w:r w:rsidRPr="00BA72E9">
        <w:rPr>
          <w:rFonts w:ascii="Open Sans" w:eastAsia="Calibri" w:hAnsi="Open Sans" w:cs="Open Sans"/>
          <w:i/>
          <w:iCs/>
        </w:rPr>
        <w:t>hengande</w:t>
      </w:r>
      <w:proofErr w:type="spellEnd"/>
      <w:r w:rsidRPr="00BA72E9">
        <w:rPr>
          <w:rFonts w:ascii="Open Sans" w:eastAsia="Calibri" w:hAnsi="Open Sans" w:cs="Open Sans"/>
          <w:i/>
          <w:iCs/>
        </w:rPr>
        <w:t xml:space="preserve"> etter i lesing, skriving eller rekning, raskt får eigna intensiv opplæring slik at forventa progresjon blir nådd.”</w:t>
      </w:r>
      <w:r w:rsidRPr="00BA72E9">
        <w:rPr>
          <w:rFonts w:ascii="Open Sans" w:eastAsia="Calibri" w:hAnsi="Open Sans" w:cs="Open Sans"/>
        </w:rPr>
        <w:t xml:space="preserve"> </w:t>
      </w:r>
      <w:r>
        <w:rPr>
          <w:rFonts w:ascii="Open Sans" w:eastAsia="Calibri" w:hAnsi="Open Sans" w:cs="Open Sans"/>
          <w:b/>
          <w:bCs/>
        </w:rPr>
        <w:br/>
      </w:r>
      <w:r w:rsidRPr="00BA72E9">
        <w:rPr>
          <w:rFonts w:ascii="Open Sans" w:eastAsia="Calibri" w:hAnsi="Open Sans" w:cs="Open Sans"/>
        </w:rPr>
        <w:br/>
        <w:t xml:space="preserve">Denne bestemmelsen tydeliggjør ansvaret som kommuner, skoler og lærere har for å gi elevene god begynneropplæring. Samtidig er det dokumentert at det er store variasjoner i innhold og kvalitet i begynneropplæringen i norske skoler, og derfor må flere kommuner og skoler iverksette tiltak for å forbedre begynneropplæringen. Den nye bestemmelsen og den dokumenterte variasjonen i kvalitet på praksis i skolen danner bakgrunnen for at kommunene i Trøndelag innfører tilbudet </w:t>
      </w:r>
      <w:r w:rsidRPr="00BA72E9">
        <w:rPr>
          <w:rFonts w:ascii="Open Sans" w:eastAsia="Calibri" w:hAnsi="Open Sans" w:cs="Open Sans"/>
          <w:i/>
          <w:iCs/>
        </w:rPr>
        <w:t>Tidlig innsats i begynneropplæringen</w:t>
      </w:r>
      <w:r w:rsidRPr="00BA72E9">
        <w:rPr>
          <w:rFonts w:ascii="Open Sans" w:eastAsia="Calibri" w:hAnsi="Open Sans" w:cs="Open Sans"/>
        </w:rPr>
        <w:t>.</w:t>
      </w:r>
      <w:r w:rsidR="00AA572C">
        <w:rPr>
          <w:rFonts w:ascii="Open Sans" w:eastAsia="Calibri" w:hAnsi="Open Sans" w:cs="Open Sans"/>
        </w:rPr>
        <w:br/>
      </w:r>
    </w:p>
    <w:p w14:paraId="184B87C5" w14:textId="4458568C" w:rsidR="00BA72E9" w:rsidRPr="00AA572C" w:rsidRDefault="00BA72E9" w:rsidP="00BA72E9">
      <w:pPr>
        <w:rPr>
          <w:rFonts w:ascii="Open Sans" w:eastAsia="Calibri" w:hAnsi="Open Sans" w:cs="Open Sans"/>
          <w:b/>
          <w:bCs/>
          <w:color w:val="484848"/>
        </w:rPr>
      </w:pPr>
      <w:r w:rsidRPr="00BA72E9">
        <w:rPr>
          <w:rFonts w:ascii="Open Sans" w:eastAsia="Calibri" w:hAnsi="Open Sans" w:cs="Open Sans"/>
          <w:b/>
          <w:bCs/>
        </w:rPr>
        <w:t>Mål</w:t>
      </w:r>
      <w:r w:rsidRPr="00BA72E9">
        <w:rPr>
          <w:rFonts w:ascii="Open Sans" w:eastAsia="Calibri" w:hAnsi="Open Sans" w:cs="Open Sans"/>
          <w:b/>
          <w:bCs/>
        </w:rPr>
        <w:br/>
      </w:r>
      <w:r w:rsidRPr="00BA72E9">
        <w:rPr>
          <w:rFonts w:ascii="Open Sans" w:eastAsia="Calibri" w:hAnsi="Open Sans" w:cs="Open Sans"/>
        </w:rPr>
        <w:t xml:space="preserve">Målet med </w:t>
      </w:r>
      <w:r w:rsidRPr="00BA72E9">
        <w:rPr>
          <w:rFonts w:ascii="Open Sans" w:eastAsia="Calibri" w:hAnsi="Open Sans" w:cs="Open Sans"/>
          <w:i/>
          <w:iCs/>
        </w:rPr>
        <w:t>Tidlig innsats i begynneropplæringen</w:t>
      </w:r>
      <w:r w:rsidRPr="00BA72E9">
        <w:rPr>
          <w:rFonts w:ascii="Open Sans" w:eastAsia="Calibri" w:hAnsi="Open Sans" w:cs="Open Sans"/>
        </w:rPr>
        <w:t xml:space="preserve"> er at lærere og skoleledere skal utvikle forståelse for hva som kjennetegner god begynneropplæring i lesing, skriving og regning. Denne forståelsen skal omsettes til god praksis i klasserommene, slik at elevene får tilpasset opplæring og kan oppleve mestring og motivasjon. Skolene skal utvikle en god begynneropplæring som er i samsvar med den nye læreplanen, LK20, og som gir alle elevene muligheter til å lære å lese, skrive og regne. </w:t>
      </w:r>
      <w:r w:rsidR="00AA572C">
        <w:rPr>
          <w:rFonts w:ascii="Open Sans" w:eastAsia="Calibri" w:hAnsi="Open Sans" w:cs="Open Sans"/>
          <w:b/>
          <w:bCs/>
          <w:color w:val="484848"/>
        </w:rPr>
        <w:br/>
      </w:r>
      <w:r w:rsidR="00AA572C">
        <w:rPr>
          <w:rFonts w:ascii="Open Sans" w:eastAsia="Calibri" w:hAnsi="Open Sans" w:cs="Open Sans"/>
          <w:b/>
          <w:bCs/>
          <w:color w:val="484848"/>
        </w:rPr>
        <w:br/>
      </w:r>
      <w:r w:rsidRPr="00BA72E9">
        <w:rPr>
          <w:rFonts w:ascii="Open Sans" w:eastAsia="Calibri" w:hAnsi="Open Sans" w:cs="Open Sans"/>
          <w:b/>
          <w:bCs/>
        </w:rPr>
        <w:t>Målgruppe</w:t>
      </w:r>
      <w:r w:rsidRPr="00BA72E9">
        <w:rPr>
          <w:rFonts w:ascii="Open Sans" w:eastAsia="Calibri" w:hAnsi="Open Sans" w:cs="Open Sans"/>
          <w:b/>
          <w:bCs/>
        </w:rPr>
        <w:br/>
      </w:r>
      <w:r w:rsidRPr="00BA72E9">
        <w:rPr>
          <w:rFonts w:ascii="Open Sans" w:eastAsia="Calibri" w:hAnsi="Open Sans" w:cs="Open Sans"/>
        </w:rPr>
        <w:t>Lærere på 1. og 2. trinn, skoleledere, PP-ansatte og eventuelt skoleeiere.</w:t>
      </w:r>
      <w:r w:rsidR="00AA572C">
        <w:rPr>
          <w:rFonts w:ascii="Open Sans" w:eastAsia="Calibri" w:hAnsi="Open Sans" w:cs="Open Sans"/>
          <w:b/>
          <w:bCs/>
          <w:color w:val="484848"/>
        </w:rPr>
        <w:br/>
      </w:r>
      <w:r w:rsidR="00AA572C">
        <w:rPr>
          <w:rFonts w:ascii="Open Sans" w:eastAsia="Calibri" w:hAnsi="Open Sans" w:cs="Open Sans"/>
          <w:b/>
          <w:bCs/>
          <w:color w:val="484848"/>
        </w:rPr>
        <w:br/>
      </w:r>
      <w:r w:rsidRPr="00BA72E9">
        <w:rPr>
          <w:rFonts w:ascii="Open Sans" w:eastAsia="Calibri" w:hAnsi="Open Sans" w:cs="Open Sans"/>
          <w:b/>
          <w:bCs/>
        </w:rPr>
        <w:t>Varighet</w:t>
      </w:r>
      <w:r w:rsidRPr="00BA72E9">
        <w:rPr>
          <w:rFonts w:ascii="Open Sans" w:eastAsia="Calibri" w:hAnsi="Open Sans" w:cs="Open Sans"/>
          <w:b/>
          <w:bCs/>
        </w:rPr>
        <w:br/>
      </w:r>
      <w:r w:rsidRPr="00BA72E9">
        <w:rPr>
          <w:rFonts w:ascii="Open Sans" w:eastAsia="Calibri" w:hAnsi="Open Sans" w:cs="Open Sans"/>
        </w:rPr>
        <w:t>2020 til 2023, seks semestre. Tiltaket skal deretter evalueres for en eventuell videreføring, oppskalering/justering eller avslutning.</w:t>
      </w:r>
      <w:r w:rsidR="00AA572C">
        <w:rPr>
          <w:rFonts w:ascii="Open Sans" w:eastAsia="Calibri" w:hAnsi="Open Sans" w:cs="Open Sans"/>
          <w:b/>
          <w:bCs/>
          <w:color w:val="484848"/>
        </w:rPr>
        <w:br/>
      </w:r>
      <w:r w:rsidR="00AA572C">
        <w:rPr>
          <w:rFonts w:ascii="Open Sans" w:eastAsia="Calibri" w:hAnsi="Open Sans" w:cs="Open Sans"/>
          <w:b/>
          <w:bCs/>
          <w:color w:val="484848"/>
        </w:rPr>
        <w:br/>
      </w:r>
      <w:r w:rsidRPr="00BA72E9">
        <w:rPr>
          <w:rFonts w:ascii="Open Sans" w:eastAsia="Calibri" w:hAnsi="Open Sans" w:cs="Open Sans"/>
          <w:b/>
          <w:bCs/>
        </w:rPr>
        <w:t>Innhold</w:t>
      </w:r>
      <w:r w:rsidRPr="00BA72E9">
        <w:rPr>
          <w:rFonts w:ascii="Open Sans" w:eastAsia="Calibri" w:hAnsi="Open Sans" w:cs="Open Sans"/>
        </w:rPr>
        <w:br/>
      </w:r>
      <w:r w:rsidRPr="00BA72E9">
        <w:rPr>
          <w:rFonts w:ascii="Open Sans" w:eastAsia="Calibri" w:hAnsi="Open Sans" w:cs="Open Sans"/>
          <w:i/>
          <w:iCs/>
        </w:rPr>
        <w:t>Tidlig innsats i begynneropplæringen</w:t>
      </w:r>
      <w:r w:rsidRPr="00BA72E9">
        <w:rPr>
          <w:rFonts w:ascii="Open Sans" w:eastAsia="Calibri" w:hAnsi="Open Sans" w:cs="Open Sans"/>
        </w:rPr>
        <w:t xml:space="preserve"> vil ha et særlig </w:t>
      </w:r>
      <w:proofErr w:type="gramStart"/>
      <w:r w:rsidRPr="00BA72E9">
        <w:rPr>
          <w:rFonts w:ascii="Open Sans" w:eastAsia="Calibri" w:hAnsi="Open Sans" w:cs="Open Sans"/>
        </w:rPr>
        <w:t>fokus</w:t>
      </w:r>
      <w:proofErr w:type="gramEnd"/>
      <w:r w:rsidRPr="00BA72E9">
        <w:rPr>
          <w:rFonts w:ascii="Open Sans" w:eastAsia="Calibri" w:hAnsi="Open Sans" w:cs="Open Sans"/>
        </w:rPr>
        <w:t xml:space="preserve"> på matematikk (regning) og </w:t>
      </w:r>
      <w:r w:rsidRPr="00BA72E9">
        <w:rPr>
          <w:rFonts w:ascii="Open Sans" w:eastAsia="Calibri" w:hAnsi="Open Sans" w:cs="Open Sans"/>
        </w:rPr>
        <w:lastRenderedPageBreak/>
        <w:t xml:space="preserve">skriving. Sentrale temaer i matematikk vil for eksempel være grunnleggende tallforståelse, dynamisk kartlegging, elevstrategier, representasjoner, motivasjon og utforskende samtaler (ulike typer samtaler og samtaletrekk). </w:t>
      </w:r>
      <w:r w:rsidRPr="00BA72E9">
        <w:rPr>
          <w:rFonts w:ascii="Open Sans" w:eastAsia="Calibri" w:hAnsi="Open Sans" w:cs="Open Sans"/>
        </w:rPr>
        <w:br/>
      </w:r>
      <w:r w:rsidRPr="00BA72E9">
        <w:rPr>
          <w:rFonts w:ascii="Open Sans" w:eastAsia="Calibri" w:hAnsi="Open Sans" w:cs="Open Sans"/>
        </w:rPr>
        <w:br/>
        <w:t xml:space="preserve">Sentrale temaer innen skriving vil være </w:t>
      </w:r>
      <w:r w:rsidRPr="00BA72E9">
        <w:rPr>
          <w:rFonts w:ascii="Open Sans" w:eastAsia="Calibri" w:hAnsi="Open Sans" w:cs="Open Sans"/>
          <w:lang w:val="nn-NO"/>
        </w:rPr>
        <w:t xml:space="preserve">rask bokstavinnlæring, funksjonell skriving (med </w:t>
      </w:r>
      <w:proofErr w:type="gramStart"/>
      <w:r w:rsidRPr="00BA72E9">
        <w:rPr>
          <w:rFonts w:ascii="Open Sans" w:eastAsia="Calibri" w:hAnsi="Open Sans" w:cs="Open Sans"/>
          <w:lang w:val="nn-NO"/>
        </w:rPr>
        <w:t>fokus</w:t>
      </w:r>
      <w:proofErr w:type="gramEnd"/>
      <w:r w:rsidRPr="00BA72E9">
        <w:rPr>
          <w:rFonts w:ascii="Open Sans" w:eastAsia="Calibri" w:hAnsi="Open Sans" w:cs="Open Sans"/>
          <w:lang w:val="nn-NO"/>
        </w:rPr>
        <w:t xml:space="preserve"> på formål, mening, motivasjon), </w:t>
      </w:r>
      <w:proofErr w:type="spellStart"/>
      <w:r w:rsidRPr="00BA72E9">
        <w:rPr>
          <w:rFonts w:ascii="Open Sans" w:eastAsia="Calibri" w:hAnsi="Open Sans" w:cs="Open Sans"/>
          <w:lang w:val="nn-NO"/>
        </w:rPr>
        <w:t>utforskende</w:t>
      </w:r>
      <w:proofErr w:type="spellEnd"/>
      <w:r w:rsidRPr="00BA72E9">
        <w:rPr>
          <w:rFonts w:ascii="Open Sans" w:eastAsia="Calibri" w:hAnsi="Open Sans" w:cs="Open Sans"/>
          <w:lang w:val="nn-NO"/>
        </w:rPr>
        <w:t xml:space="preserve"> samtaler </w:t>
      </w:r>
      <w:proofErr w:type="spellStart"/>
      <w:r w:rsidRPr="00BA72E9">
        <w:rPr>
          <w:rFonts w:ascii="Open Sans" w:eastAsia="Calibri" w:hAnsi="Open Sans" w:cs="Open Sans"/>
          <w:lang w:val="nn-NO"/>
        </w:rPr>
        <w:t>underveis</w:t>
      </w:r>
      <w:proofErr w:type="spellEnd"/>
      <w:r w:rsidRPr="00BA72E9">
        <w:rPr>
          <w:rFonts w:ascii="Open Sans" w:eastAsia="Calibri" w:hAnsi="Open Sans" w:cs="Open Sans"/>
          <w:lang w:val="nn-NO"/>
        </w:rPr>
        <w:t xml:space="preserve"> i </w:t>
      </w:r>
      <w:proofErr w:type="spellStart"/>
      <w:r w:rsidRPr="00BA72E9">
        <w:rPr>
          <w:rFonts w:ascii="Open Sans" w:eastAsia="Calibri" w:hAnsi="Open Sans" w:cs="Open Sans"/>
          <w:lang w:val="nn-NO"/>
        </w:rPr>
        <w:t>skriveprosessene</w:t>
      </w:r>
      <w:proofErr w:type="spellEnd"/>
      <w:r w:rsidRPr="00BA72E9">
        <w:rPr>
          <w:rFonts w:ascii="Open Sans" w:eastAsia="Calibri" w:hAnsi="Open Sans" w:cs="Open Sans"/>
          <w:lang w:val="nn-NO"/>
        </w:rPr>
        <w:t xml:space="preserve">, å skrive seg til lesing og vurdering av skriving som grunnlag for å støtte </w:t>
      </w:r>
      <w:r w:rsidRPr="00BA72E9">
        <w:rPr>
          <w:rFonts w:ascii="Open Sans" w:eastAsia="Calibri" w:hAnsi="Open Sans" w:cs="Open Sans"/>
        </w:rPr>
        <w:t>elever i videre skriveutvikling. Sammenhenger mellom muntlige ferdigheter og lesing og skriving vil bli vektlagt.</w:t>
      </w:r>
    </w:p>
    <w:p w14:paraId="3C51FC0E" w14:textId="3467422B" w:rsidR="00BA72E9" w:rsidRPr="00AA572C" w:rsidRDefault="00BA72E9" w:rsidP="00BA72E9">
      <w:pPr>
        <w:rPr>
          <w:rFonts w:ascii="Open Sans" w:eastAsia="Calibri" w:hAnsi="Open Sans" w:cs="Open Sans"/>
          <w:lang w:val="nn-NO"/>
        </w:rPr>
      </w:pPr>
      <w:r w:rsidRPr="00BA72E9">
        <w:rPr>
          <w:rFonts w:ascii="Open Sans" w:eastAsia="Calibri" w:hAnsi="Open Sans" w:cs="Open Sans"/>
        </w:rPr>
        <w:t>Innholdsmomentene ovenfor vil gi kunnskap om, og hjelp til, å gi god begynneropplæring og intensiv opplæring til elever som står i fare for å bli hengende etter i lesing, skriving og regning.</w:t>
      </w:r>
      <w:r w:rsidR="00AA572C">
        <w:rPr>
          <w:rFonts w:ascii="Open Sans" w:eastAsia="Calibri" w:hAnsi="Open Sans" w:cs="Open Sans"/>
          <w:lang w:val="nn-NO"/>
        </w:rPr>
        <w:br/>
      </w:r>
      <w:r w:rsidR="00AA572C">
        <w:rPr>
          <w:rFonts w:ascii="Open Sans" w:eastAsia="Calibri" w:hAnsi="Open Sans" w:cs="Open Sans"/>
          <w:lang w:val="nn-NO"/>
        </w:rPr>
        <w:br/>
      </w:r>
      <w:r w:rsidRPr="00BA72E9">
        <w:rPr>
          <w:rFonts w:ascii="Open Sans" w:eastAsia="Calibri" w:hAnsi="Open Sans" w:cs="Open Sans"/>
          <w:b/>
          <w:bCs/>
        </w:rPr>
        <w:t>Organisering</w:t>
      </w:r>
      <w:r w:rsidRPr="00BA72E9">
        <w:rPr>
          <w:rFonts w:ascii="Open Sans" w:eastAsia="Calibri" w:hAnsi="Open Sans" w:cs="Open Sans"/>
          <w:b/>
          <w:bCs/>
        </w:rPr>
        <w:br/>
      </w:r>
      <w:r w:rsidRPr="00BA72E9">
        <w:rPr>
          <w:rFonts w:ascii="Open Sans" w:eastAsia="Calibri" w:hAnsi="Open Sans" w:cs="Open Sans"/>
        </w:rPr>
        <w:t xml:space="preserve">Nettverk som deltar i </w:t>
      </w:r>
      <w:r w:rsidRPr="00BA72E9">
        <w:rPr>
          <w:rFonts w:ascii="Open Sans" w:eastAsia="Calibri" w:hAnsi="Open Sans" w:cs="Open Sans"/>
          <w:i/>
          <w:iCs/>
        </w:rPr>
        <w:t>Tidlig innsats i begynneropplæringen</w:t>
      </w:r>
      <w:r w:rsidRPr="00BA72E9">
        <w:rPr>
          <w:rFonts w:ascii="Open Sans" w:eastAsia="Calibri" w:hAnsi="Open Sans" w:cs="Open Sans"/>
        </w:rPr>
        <w:t xml:space="preserve"> får tilbud om oppstartssamling. Videre vil det finne sted en samling i semesteret i hvert nettverk. Mellom samlingene skal lærere utføre arbeid sammen med egne elever og kollegaer der de prøver ut elementer i god begynneropplæring, observerer hverandre og reflekterer over forbedring av praksis. Det vil være ulikt fokus i de ulike semestrene:</w:t>
      </w:r>
    </w:p>
    <w:p w14:paraId="0EB5DE9E" w14:textId="4677C424" w:rsidR="00BA72E9" w:rsidRPr="00BA72E9" w:rsidRDefault="00BA72E9" w:rsidP="00BA72E9">
      <w:pPr>
        <w:rPr>
          <w:rFonts w:ascii="Open Sans" w:eastAsia="Calibri" w:hAnsi="Open Sans" w:cs="Open Sans"/>
        </w:rPr>
      </w:pPr>
      <w:r w:rsidRPr="00BA72E9">
        <w:rPr>
          <w:rFonts w:ascii="Open Sans" w:eastAsia="Calibri" w:hAnsi="Open Sans" w:cs="Open Sans"/>
        </w:rPr>
        <w:t>Semester 1, 3 og 5: Matematikk (regning)</w:t>
      </w:r>
      <w:r w:rsidRPr="00BA72E9">
        <w:rPr>
          <w:rFonts w:ascii="Open Sans" w:eastAsia="Calibri" w:hAnsi="Open Sans" w:cs="Open Sans"/>
        </w:rPr>
        <w:br/>
        <w:t xml:space="preserve">Semester 2, 4 og 6: Skriving </w:t>
      </w:r>
    </w:p>
    <w:p w14:paraId="62AC8236" w14:textId="4FBD6A63" w:rsidR="00BA72E9" w:rsidRPr="00BA72E9" w:rsidRDefault="00BA72E9" w:rsidP="00BA72E9">
      <w:pPr>
        <w:rPr>
          <w:rFonts w:ascii="Open Sans" w:eastAsia="Calibri" w:hAnsi="Open Sans" w:cs="Open Sans"/>
          <w:b/>
          <w:bCs/>
        </w:rPr>
      </w:pPr>
      <w:r w:rsidRPr="00BA72E9">
        <w:rPr>
          <w:rFonts w:ascii="Open Sans" w:eastAsia="Calibri" w:hAnsi="Open Sans" w:cs="Open Sans"/>
        </w:rPr>
        <w:t>Mot slutten av perioden evaluerer skolene utviklingsarbeidet og legger en plan for det videre arbeidet. Hvert nettverk vil ved oppstart få to kontaktpersoner fra sentrene. Disse kontaktpersonene vil delta på alle samlinger i nettverket, samt gi støtte mellom samlingene.</w:t>
      </w:r>
      <w:r w:rsidRPr="00BA72E9">
        <w:rPr>
          <w:rFonts w:ascii="Open Sans" w:eastAsia="Calibri" w:hAnsi="Open Sans" w:cs="Open Sans"/>
        </w:rPr>
        <w:br/>
      </w:r>
      <w:r w:rsidRPr="00BA72E9">
        <w:rPr>
          <w:rFonts w:ascii="Open Sans" w:eastAsia="Calibri" w:hAnsi="Open Sans" w:cs="Open Sans"/>
        </w:rPr>
        <w:br/>
      </w:r>
      <w:r w:rsidR="00AA572C">
        <w:rPr>
          <w:rFonts w:ascii="Open Sans" w:eastAsia="Calibri" w:hAnsi="Open Sans" w:cs="Open Sans"/>
        </w:rPr>
        <w:t>Det er</w:t>
      </w:r>
      <w:r w:rsidRPr="00BA72E9">
        <w:rPr>
          <w:rFonts w:ascii="Open Sans" w:eastAsia="Calibri" w:hAnsi="Open Sans" w:cs="Open Sans"/>
        </w:rPr>
        <w:t xml:space="preserve"> 10 kompetansenettverk på grunnskolens område i fylket.  De minste blir slått sammen på samme måte som vi gjorde våren 2019 i forbindelse med dagskursene i begynneropplæring.</w:t>
      </w:r>
      <w:r w:rsidR="00AA572C">
        <w:rPr>
          <w:rFonts w:ascii="Open Sans" w:eastAsia="Calibri" w:hAnsi="Open Sans" w:cs="Open Sans"/>
        </w:rPr>
        <w:t xml:space="preserve"> </w:t>
      </w:r>
      <w:r w:rsidR="00AA572C">
        <w:rPr>
          <w:rFonts w:ascii="Open Sans" w:eastAsia="Calibri" w:hAnsi="Open Sans" w:cs="Open Sans"/>
        </w:rPr>
        <w:br/>
      </w:r>
      <w:r w:rsidR="00AA572C">
        <w:rPr>
          <w:rFonts w:ascii="Open Sans" w:eastAsia="Calibri" w:hAnsi="Open Sans" w:cs="Open Sans"/>
        </w:rPr>
        <w:br/>
      </w:r>
      <w:r w:rsidRPr="00BA72E9">
        <w:rPr>
          <w:rFonts w:ascii="Open Sans" w:eastAsia="Calibri" w:hAnsi="Open Sans" w:cs="Open Sans"/>
          <w:b/>
          <w:bCs/>
        </w:rPr>
        <w:t>Bidragsytere</w:t>
      </w:r>
      <w:r w:rsidRPr="00BA72E9">
        <w:rPr>
          <w:rFonts w:ascii="Open Sans" w:eastAsia="Calibri" w:hAnsi="Open Sans" w:cs="Open Sans"/>
          <w:b/>
          <w:bCs/>
        </w:rPr>
        <w:br/>
      </w:r>
      <w:r w:rsidRPr="00BA72E9">
        <w:rPr>
          <w:rFonts w:ascii="Open Sans" w:eastAsia="Calibri" w:hAnsi="Open Sans" w:cs="Open Sans"/>
        </w:rPr>
        <w:t>Nasjonalt senter for matematikk i opplæringen (Matematikksenteret) og Nasjonalt senter for skriveopplæring og skriveforsking (Skrivesenteret) ved NTNU.</w:t>
      </w:r>
    </w:p>
    <w:p w14:paraId="21BC7EAA" w14:textId="28A5DA94" w:rsidR="00BA72E9" w:rsidRPr="00BA72E9" w:rsidRDefault="00BA72E9" w:rsidP="00BA72E9">
      <w:pPr>
        <w:rPr>
          <w:rFonts w:ascii="Open Sans" w:eastAsia="Calibri" w:hAnsi="Open Sans" w:cs="Open Sans"/>
          <w:b/>
          <w:bCs/>
        </w:rPr>
      </w:pPr>
      <w:r w:rsidRPr="00BA72E9">
        <w:rPr>
          <w:rFonts w:ascii="Open Sans" w:eastAsia="Calibri" w:hAnsi="Open Sans" w:cs="Open Sans"/>
          <w:b/>
          <w:bCs/>
        </w:rPr>
        <w:t>Forpliktelser</w:t>
      </w:r>
      <w:r w:rsidRPr="00BA72E9">
        <w:rPr>
          <w:rFonts w:ascii="Open Sans" w:eastAsia="Calibri" w:hAnsi="Open Sans" w:cs="Open Sans"/>
          <w:b/>
          <w:bCs/>
        </w:rPr>
        <w:br/>
      </w:r>
      <w:r w:rsidRPr="00BA72E9">
        <w:rPr>
          <w:rFonts w:ascii="Open Sans" w:eastAsia="Calibri" w:hAnsi="Open Sans" w:cs="Open Sans"/>
        </w:rPr>
        <w:t xml:space="preserve">Skoleledere forplikter seg til å legge til rette for at lærere på første og andre </w:t>
      </w:r>
      <w:proofErr w:type="spellStart"/>
      <w:r w:rsidRPr="00BA72E9">
        <w:rPr>
          <w:rFonts w:ascii="Open Sans" w:eastAsia="Calibri" w:hAnsi="Open Sans" w:cs="Open Sans"/>
        </w:rPr>
        <w:t>årstrinn</w:t>
      </w:r>
      <w:proofErr w:type="spellEnd"/>
      <w:r w:rsidRPr="00BA72E9">
        <w:rPr>
          <w:rFonts w:ascii="Open Sans" w:eastAsia="Calibri" w:hAnsi="Open Sans" w:cs="Open Sans"/>
        </w:rPr>
        <w:t xml:space="preserve"> får anledning til å delta på samlinger og gjennomføre mellomarbeid mellom samlingene. Tilbudet er gratis, men vikar- og reiseutgifter for deltakerne dekkes av den enkelte skoleeier.</w:t>
      </w:r>
    </w:p>
    <w:p w14:paraId="5753F9C0" w14:textId="3D0437AA" w:rsidR="00BA72E9" w:rsidRDefault="00BA72E9" w:rsidP="00BA72E9">
      <w:pPr>
        <w:rPr>
          <w:rFonts w:ascii="Open Sans" w:eastAsia="Calibri" w:hAnsi="Open Sans" w:cs="Open Sans"/>
        </w:rPr>
      </w:pPr>
    </w:p>
    <w:p w14:paraId="65D84202" w14:textId="77777777" w:rsidR="00AA572C" w:rsidRPr="00BA72E9" w:rsidRDefault="00AA572C" w:rsidP="00BA72E9">
      <w:pPr>
        <w:rPr>
          <w:rFonts w:ascii="Open Sans" w:eastAsia="Calibri" w:hAnsi="Open Sans" w:cs="Open Sans"/>
        </w:rPr>
      </w:pPr>
    </w:p>
    <w:p w14:paraId="4BA12B38" w14:textId="52846ADB" w:rsidR="00BA72E9" w:rsidRPr="00BA72E9" w:rsidRDefault="00AA572C" w:rsidP="00BA72E9">
      <w:pPr>
        <w:rPr>
          <w:rFonts w:ascii="Open Sans" w:eastAsia="Calibri" w:hAnsi="Open Sans" w:cs="Open Sans"/>
        </w:rPr>
      </w:pPr>
      <w:r>
        <w:rPr>
          <w:rFonts w:ascii="Open Sans" w:eastAsia="Calibri" w:hAnsi="Open Sans" w:cs="Open Sans"/>
        </w:rPr>
        <w:lastRenderedPageBreak/>
        <w:t>Vedlegg 2</w:t>
      </w:r>
    </w:p>
    <w:p w14:paraId="660E59A1" w14:textId="1A650072" w:rsidR="00AA572C" w:rsidRPr="00AA572C" w:rsidRDefault="00AA572C" w:rsidP="00AA572C">
      <w:pPr>
        <w:pStyle w:val="Sterktsitat"/>
        <w:jc w:val="left"/>
        <w:rPr>
          <w:rFonts w:ascii="Times New Roman" w:hAnsi="Times New Roman"/>
          <w:b/>
          <w:bCs/>
          <w:sz w:val="24"/>
        </w:rPr>
      </w:pPr>
      <w:r w:rsidRPr="00AA572C">
        <w:rPr>
          <w:rFonts w:ascii="Times New Roman" w:hAnsi="Times New Roman"/>
          <w:b/>
          <w:bCs/>
          <w:sz w:val="28"/>
          <w:szCs w:val="28"/>
        </w:rPr>
        <w:t>Læreplan og vurdering</w:t>
      </w:r>
      <w:r>
        <w:rPr>
          <w:rFonts w:ascii="Times New Roman" w:hAnsi="Times New Roman"/>
          <w:b/>
          <w:bCs/>
          <w:sz w:val="24"/>
        </w:rPr>
        <w:t xml:space="preserve"> -</w:t>
      </w:r>
      <w:r w:rsidRPr="00AA572C">
        <w:rPr>
          <w:rFonts w:ascii="Times New Roman" w:hAnsi="Times New Roman"/>
          <w:b/>
          <w:bCs/>
          <w:sz w:val="24"/>
        </w:rPr>
        <w:t xml:space="preserve"> i fagene norsk, matematikk og engelsk</w:t>
      </w:r>
    </w:p>
    <w:p w14:paraId="4F91673B" w14:textId="34692AFB" w:rsidR="00AA572C" w:rsidRPr="00AA572C" w:rsidRDefault="00AA572C" w:rsidP="00AA572C">
      <w:pPr>
        <w:spacing w:after="40" w:line="360" w:lineRule="auto"/>
        <w:rPr>
          <w:rFonts w:ascii="Times New Roman" w:eastAsia="Times New Roman" w:hAnsi="Times New Roman" w:cs="Times New Roman"/>
          <w:bCs/>
          <w:color w:val="000000" w:themeColor="text1"/>
          <w:sz w:val="24"/>
          <w:szCs w:val="24"/>
        </w:rPr>
      </w:pPr>
      <w:r w:rsidRPr="00AA572C">
        <w:rPr>
          <w:rFonts w:ascii="Times New Roman" w:hAnsi="Times New Roman"/>
          <w:sz w:val="24"/>
        </w:rPr>
        <w:br/>
      </w:r>
      <w:r w:rsidRPr="00AA572C">
        <w:rPr>
          <w:rFonts w:asciiTheme="majorHAnsi" w:eastAsiaTheme="majorEastAsia" w:hAnsiTheme="majorHAnsi" w:cstheme="majorBidi"/>
          <w:b/>
          <w:color w:val="000000" w:themeColor="text1"/>
          <w:sz w:val="28"/>
          <w:szCs w:val="32"/>
        </w:rPr>
        <w:t xml:space="preserve">1. Bakgrunn </w:t>
      </w:r>
      <w:r w:rsidRPr="00AA572C">
        <w:rPr>
          <w:rFonts w:asciiTheme="majorHAnsi" w:eastAsiaTheme="majorEastAsia" w:hAnsiTheme="majorHAnsi" w:cstheme="majorBidi"/>
          <w:b/>
          <w:color w:val="000000" w:themeColor="text1"/>
          <w:sz w:val="28"/>
          <w:szCs w:val="32"/>
        </w:rPr>
        <w:br/>
      </w:r>
      <w:r w:rsidRPr="00AA572C">
        <w:rPr>
          <w:rFonts w:ascii="Times New Roman" w:eastAsia="Times New Roman" w:hAnsi="Times New Roman" w:cs="Times New Roman"/>
          <w:bCs/>
          <w:color w:val="000000" w:themeColor="text1"/>
          <w:sz w:val="24"/>
          <w:szCs w:val="24"/>
        </w:rPr>
        <w:t>Standpunktvurdering utgjør cirka 80% av karakterene på et vitnemål.</w:t>
      </w:r>
      <w:r w:rsidRPr="00AA572C">
        <w:rPr>
          <w:rFonts w:ascii="Times New Roman" w:eastAsia="Times New Roman" w:hAnsi="Times New Roman" w:cs="Times New Roman"/>
          <w:bCs/>
          <w:sz w:val="24"/>
          <w:szCs w:val="24"/>
          <w:vertAlign w:val="superscript"/>
        </w:rPr>
        <w:footnoteReference w:id="2"/>
      </w:r>
      <w:r w:rsidRPr="00AA572C">
        <w:rPr>
          <w:rFonts w:ascii="Times New Roman" w:eastAsia="Times New Roman" w:hAnsi="Times New Roman" w:cs="Times New Roman"/>
          <w:bCs/>
          <w:color w:val="000000" w:themeColor="text1"/>
          <w:sz w:val="24"/>
          <w:szCs w:val="24"/>
        </w:rPr>
        <w:t xml:space="preserve"> Selv om eksamenskarakteren kan få store konsekvenser for enkeltelever, spiller også standpunkt en stor rolle. Forholdet mellom standpunkt og eksamen på vitnemålet står i kontrast til den oppmerksomhet de begge vurderingsformene får. Mens eksamen diskuteres flittig, og det finnes spesielle skoleringsordninger for sensorer, forventes lærere å håndtere standpunktvurderingen uten ekstra støtte. </w:t>
      </w:r>
    </w:p>
    <w:p w14:paraId="183211EF" w14:textId="77777777" w:rsidR="00AA572C" w:rsidRPr="00AA572C" w:rsidRDefault="00AA572C" w:rsidP="00AA572C">
      <w:pPr>
        <w:spacing w:after="40" w:line="360" w:lineRule="auto"/>
        <w:rPr>
          <w:rFonts w:ascii="Times New Roman" w:eastAsia="Times New Roman" w:hAnsi="Times New Roman" w:cs="Times New Roman"/>
          <w:bCs/>
          <w:color w:val="000000" w:themeColor="text1"/>
          <w:sz w:val="24"/>
          <w:szCs w:val="24"/>
        </w:rPr>
      </w:pPr>
    </w:p>
    <w:p w14:paraId="53E6CCF3" w14:textId="77777777" w:rsidR="00AA572C" w:rsidRPr="00AA572C" w:rsidRDefault="00AA572C" w:rsidP="00AA572C">
      <w:pPr>
        <w:spacing w:after="40" w:line="360" w:lineRule="auto"/>
        <w:rPr>
          <w:rFonts w:ascii="Times New Roman" w:hAnsi="Times New Roman"/>
          <w:sz w:val="20"/>
          <w:szCs w:val="20"/>
        </w:rPr>
      </w:pPr>
      <w:r w:rsidRPr="00AA572C">
        <w:rPr>
          <w:rFonts w:ascii="Times New Roman" w:eastAsia="Times New Roman" w:hAnsi="Times New Roman" w:cs="Times New Roman"/>
          <w:bCs/>
          <w:color w:val="000000" w:themeColor="text1"/>
          <w:sz w:val="24"/>
          <w:szCs w:val="24"/>
        </w:rPr>
        <w:t xml:space="preserve">Elevvurdering er et komplekst felt. </w:t>
      </w:r>
      <w:r w:rsidRPr="00AA572C">
        <w:rPr>
          <w:rFonts w:ascii="Times New Roman" w:eastAsiaTheme="majorEastAsia" w:hAnsi="Times New Roman" w:cstheme="majorBidi"/>
          <w:bCs/>
          <w:color w:val="000000" w:themeColor="text1"/>
          <w:sz w:val="24"/>
          <w:szCs w:val="24"/>
        </w:rPr>
        <w:t>Det finnes det forskning som tyder på at standpunktvurdering er mer treffsikker enn eksamen når det gjelder å forutsi elevprestasjoner på høyere trinn (</w:t>
      </w:r>
      <w:proofErr w:type="spellStart"/>
      <w:r w:rsidRPr="00AA572C">
        <w:rPr>
          <w:rFonts w:ascii="Times New Roman" w:eastAsiaTheme="majorEastAsia" w:hAnsi="Times New Roman" w:cstheme="majorBidi"/>
          <w:bCs/>
          <w:color w:val="000000" w:themeColor="text1"/>
          <w:sz w:val="24"/>
          <w:szCs w:val="24"/>
        </w:rPr>
        <w:t>Björklund</w:t>
      </w:r>
      <w:proofErr w:type="spellEnd"/>
      <w:r w:rsidRPr="00AA572C">
        <w:rPr>
          <w:rFonts w:ascii="Times New Roman" w:eastAsiaTheme="majorEastAsia" w:hAnsi="Times New Roman" w:cstheme="majorBidi"/>
          <w:bCs/>
          <w:color w:val="000000" w:themeColor="text1"/>
          <w:sz w:val="24"/>
          <w:szCs w:val="24"/>
        </w:rPr>
        <w:t xml:space="preserve"> et al., 2010). </w:t>
      </w:r>
      <w:r w:rsidRPr="00AA572C">
        <w:rPr>
          <w:rFonts w:ascii="Times New Roman" w:eastAsia="Times New Roman" w:hAnsi="Times New Roman" w:cs="Times New Roman"/>
          <w:bCs/>
          <w:color w:val="000000" w:themeColor="text1"/>
          <w:sz w:val="24"/>
          <w:szCs w:val="24"/>
        </w:rPr>
        <w:t>Dette forklares gjerne med at lærere har observert sine elever over lang tid. Det motsatte gjelder for et eksamensresultat, som baserer seg på en enkeltprestasjon under begrenset tid. Samtidig viser internasjonal forskning at elevvurdering–selv om den er breiere enn standardisert testing–har en rekke utfordringer, og at elever er prisgitt sine læreres tolking av kompetansemål og forskrifter (</w:t>
      </w:r>
      <w:proofErr w:type="spellStart"/>
      <w:r w:rsidRPr="00AA572C">
        <w:rPr>
          <w:rFonts w:ascii="Times New Roman" w:eastAsia="Times New Roman" w:hAnsi="Times New Roman" w:cs="Times New Roman"/>
          <w:bCs/>
          <w:color w:val="000000" w:themeColor="text1"/>
          <w:sz w:val="24"/>
          <w:szCs w:val="24"/>
        </w:rPr>
        <w:t>Brookhart</w:t>
      </w:r>
      <w:proofErr w:type="spellEnd"/>
      <w:r w:rsidRPr="00AA572C">
        <w:rPr>
          <w:rFonts w:ascii="Times New Roman" w:eastAsia="Times New Roman" w:hAnsi="Times New Roman" w:cs="Times New Roman"/>
          <w:bCs/>
          <w:color w:val="000000" w:themeColor="text1"/>
          <w:sz w:val="24"/>
          <w:szCs w:val="24"/>
        </w:rPr>
        <w:t xml:space="preserve"> et al., 2016). </w:t>
      </w:r>
    </w:p>
    <w:p w14:paraId="585158EC" w14:textId="77777777" w:rsidR="00AA572C" w:rsidRPr="00AA572C" w:rsidRDefault="00AA572C" w:rsidP="00AA572C">
      <w:pPr>
        <w:spacing w:after="40" w:line="360" w:lineRule="auto"/>
        <w:rPr>
          <w:rFonts w:ascii="Times New Roman" w:eastAsia="Times New Roman" w:hAnsi="Times New Roman" w:cs="Times New Roman"/>
          <w:bCs/>
          <w:color w:val="000000" w:themeColor="text1"/>
          <w:sz w:val="24"/>
          <w:szCs w:val="24"/>
        </w:rPr>
      </w:pPr>
    </w:p>
    <w:p w14:paraId="43CD3CFC" w14:textId="77777777" w:rsidR="00AA572C" w:rsidRPr="00AA572C" w:rsidRDefault="00AA572C" w:rsidP="00AA572C">
      <w:pPr>
        <w:spacing w:after="40" w:line="360" w:lineRule="auto"/>
        <w:rPr>
          <w:rFonts w:ascii="Times New Roman" w:eastAsia="Times New Roman" w:hAnsi="Times New Roman" w:cs="Times New Roman"/>
          <w:bCs/>
          <w:color w:val="000000" w:themeColor="text1"/>
          <w:sz w:val="24"/>
          <w:szCs w:val="24"/>
        </w:rPr>
      </w:pPr>
      <w:r w:rsidRPr="00AA572C">
        <w:rPr>
          <w:rFonts w:ascii="Times New Roman" w:eastAsia="Times New Roman" w:hAnsi="Times New Roman" w:cs="Times New Roman"/>
          <w:bCs/>
          <w:color w:val="000000" w:themeColor="text1"/>
          <w:sz w:val="24"/>
          <w:szCs w:val="24"/>
        </w:rPr>
        <w:t>En fersk rapport (</w:t>
      </w:r>
      <w:proofErr w:type="spellStart"/>
      <w:r w:rsidRPr="00AA572C">
        <w:rPr>
          <w:rFonts w:ascii="Times New Roman" w:eastAsia="Times New Roman" w:hAnsi="Times New Roman" w:cs="Times New Roman"/>
          <w:bCs/>
          <w:color w:val="000000" w:themeColor="text1"/>
          <w:sz w:val="24"/>
          <w:szCs w:val="24"/>
        </w:rPr>
        <w:t>Björnsson</w:t>
      </w:r>
      <w:proofErr w:type="spellEnd"/>
      <w:r w:rsidRPr="00AA572C">
        <w:rPr>
          <w:rFonts w:ascii="Times New Roman" w:eastAsia="Times New Roman" w:hAnsi="Times New Roman" w:cs="Times New Roman"/>
          <w:bCs/>
          <w:color w:val="000000" w:themeColor="text1"/>
          <w:sz w:val="24"/>
          <w:szCs w:val="24"/>
        </w:rPr>
        <w:t xml:space="preserve"> &amp; Skar, 2021) viste et fravær av tolkningsfelleskap mellom sensorer i norsk. Det er rimelig å anta at om lærere ikke er enige om vurdering ved sensur av eksamen, så vil de heller ikke være det når det kommer til den mer omfattende standpunktvurderingen. </w:t>
      </w:r>
    </w:p>
    <w:p w14:paraId="33A974ED" w14:textId="77777777" w:rsidR="00AA572C" w:rsidRPr="00AA572C" w:rsidRDefault="00AA572C" w:rsidP="00AA572C">
      <w:pPr>
        <w:spacing w:after="40" w:line="360" w:lineRule="auto"/>
        <w:rPr>
          <w:rFonts w:ascii="Times New Roman" w:eastAsia="Times New Roman" w:hAnsi="Times New Roman" w:cs="Times New Roman"/>
          <w:bCs/>
          <w:color w:val="000000" w:themeColor="text1"/>
          <w:sz w:val="24"/>
          <w:szCs w:val="24"/>
        </w:rPr>
      </w:pPr>
    </w:p>
    <w:p w14:paraId="06F778B9" w14:textId="77777777" w:rsidR="00AA572C" w:rsidRPr="00AA572C" w:rsidRDefault="00AA572C" w:rsidP="00AA572C">
      <w:pPr>
        <w:spacing w:after="40" w:line="360" w:lineRule="auto"/>
        <w:rPr>
          <w:rFonts w:ascii="Times New Roman" w:eastAsia="Times New Roman" w:hAnsi="Times New Roman" w:cs="Times New Roman"/>
          <w:bCs/>
          <w:color w:val="000000" w:themeColor="text1"/>
          <w:sz w:val="24"/>
          <w:szCs w:val="24"/>
        </w:rPr>
      </w:pPr>
      <w:r w:rsidRPr="00AA572C">
        <w:rPr>
          <w:rFonts w:ascii="Times New Roman" w:eastAsia="Times New Roman" w:hAnsi="Times New Roman" w:cs="Times New Roman"/>
          <w:bCs/>
          <w:color w:val="000000" w:themeColor="text1"/>
          <w:sz w:val="24"/>
          <w:szCs w:val="24"/>
        </w:rPr>
        <w:t xml:space="preserve">Høsten 2020 ble ny læreplan innført. Med den kom nye begreper som dybdelæring, tverrfaglige temaer og dessuten en ny måte å forstå kompetanse på. Det finnes per i dag ikke noen nasjonale, konkrete vurderingsverktøy for lærere. Derfor er lærere nødt til på egen hånd å utvikle forståelse for hvordan læreplanen kan konkretiseres i vurderingsoppgaver. Dette, og </w:t>
      </w:r>
      <w:r w:rsidRPr="00AA572C">
        <w:rPr>
          <w:rFonts w:ascii="Times New Roman" w:eastAsia="Times New Roman" w:hAnsi="Times New Roman" w:cs="Times New Roman"/>
          <w:bCs/>
          <w:color w:val="000000" w:themeColor="text1"/>
          <w:sz w:val="24"/>
          <w:szCs w:val="24"/>
        </w:rPr>
        <w:lastRenderedPageBreak/>
        <w:t xml:space="preserve">et trolig fravær av tolkningsfelleskap mellom lærere, gjør det viktig å satse på læreres vurderingskompetanse. Dette prosjektet legger opp til en slik satsing. </w:t>
      </w:r>
    </w:p>
    <w:p w14:paraId="5EDF15C4" w14:textId="77777777" w:rsidR="00AA572C" w:rsidRPr="00AA572C" w:rsidRDefault="00AA572C" w:rsidP="00AA572C">
      <w:pPr>
        <w:spacing w:after="40" w:line="360" w:lineRule="auto"/>
        <w:rPr>
          <w:rFonts w:ascii="Times New Roman" w:eastAsia="Times New Roman" w:hAnsi="Times New Roman" w:cs="Times New Roman"/>
          <w:bCs/>
          <w:color w:val="000000" w:themeColor="text1"/>
          <w:sz w:val="24"/>
          <w:szCs w:val="24"/>
        </w:rPr>
      </w:pPr>
    </w:p>
    <w:p w14:paraId="2F52E1C3" w14:textId="77777777" w:rsidR="00AA572C" w:rsidRPr="00AA572C" w:rsidRDefault="00AA572C" w:rsidP="00AA572C">
      <w:pPr>
        <w:spacing w:after="40" w:line="360" w:lineRule="auto"/>
        <w:rPr>
          <w:rFonts w:ascii="Times New Roman" w:eastAsia="Times New Roman" w:hAnsi="Times New Roman" w:cs="Times New Roman"/>
          <w:bCs/>
          <w:color w:val="000000" w:themeColor="text1"/>
          <w:sz w:val="24"/>
          <w:szCs w:val="24"/>
        </w:rPr>
      </w:pPr>
      <w:r w:rsidRPr="00AA572C">
        <w:rPr>
          <w:rFonts w:ascii="Times New Roman" w:eastAsia="Times New Roman" w:hAnsi="Times New Roman" w:cs="Times New Roman"/>
          <w:bCs/>
          <w:color w:val="000000" w:themeColor="text1"/>
          <w:sz w:val="24"/>
          <w:szCs w:val="24"/>
        </w:rPr>
        <w:t>Vi vet også at de årlige sensorskoleringene og fagdagene som blir gjennomført i forbindelse med sentralt gitt eksamen, blir løftet fram som spesielt betydningsfulle for læreres profesjonelle utvikling. Sensorene opplever faglige drøftinger som viktige bidrag i utviklingen av egen vurderingspraksis; noen beskriver også at de tar med seg arbeidsform og tankegods fra disse samlingene tilbake til egen skole.</w:t>
      </w:r>
    </w:p>
    <w:p w14:paraId="19ABBC5A" w14:textId="77777777" w:rsidR="00AA572C" w:rsidRPr="00AA572C" w:rsidRDefault="00AA572C" w:rsidP="00AA572C">
      <w:pPr>
        <w:spacing w:after="40" w:line="360" w:lineRule="auto"/>
        <w:rPr>
          <w:rFonts w:ascii="Times New Roman" w:eastAsia="Times New Roman" w:hAnsi="Times New Roman" w:cs="Times New Roman"/>
          <w:bCs/>
          <w:color w:val="000000" w:themeColor="text1"/>
          <w:sz w:val="24"/>
          <w:szCs w:val="24"/>
        </w:rPr>
      </w:pPr>
    </w:p>
    <w:p w14:paraId="6C65793F" w14:textId="77777777" w:rsidR="00AA572C" w:rsidRPr="00AA572C" w:rsidRDefault="00AA572C" w:rsidP="00AA572C">
      <w:pPr>
        <w:spacing w:after="40" w:line="360" w:lineRule="auto"/>
        <w:rPr>
          <w:rFonts w:ascii="Times New Roman" w:eastAsia="Times New Roman" w:hAnsi="Times New Roman" w:cs="Times New Roman"/>
          <w:bCs/>
          <w:color w:val="000000" w:themeColor="text1"/>
          <w:sz w:val="24"/>
          <w:szCs w:val="24"/>
        </w:rPr>
      </w:pPr>
      <w:r w:rsidRPr="00AA572C">
        <w:rPr>
          <w:rFonts w:ascii="Times New Roman" w:eastAsia="Times New Roman" w:hAnsi="Times New Roman" w:cs="Times New Roman"/>
          <w:bCs/>
          <w:color w:val="000000" w:themeColor="text1"/>
          <w:sz w:val="24"/>
          <w:szCs w:val="24"/>
        </w:rPr>
        <w:t>Vi vet også at enkelte regioner og fagnettverk har lagt til rette for slike typer samlinger og møtepunkt for lærere som underviser på trinn der de skal gi sluttvurdering; enten i form av eksamens- eller standpunktvurdering.</w:t>
      </w:r>
    </w:p>
    <w:p w14:paraId="0BE95AB4" w14:textId="77777777" w:rsidR="00AA572C" w:rsidRPr="00AA572C" w:rsidRDefault="00AA572C" w:rsidP="00AA572C">
      <w:pPr>
        <w:spacing w:after="40" w:line="360" w:lineRule="auto"/>
        <w:rPr>
          <w:rFonts w:ascii="Times New Roman" w:eastAsia="Times New Roman" w:hAnsi="Times New Roman" w:cs="Times New Roman"/>
          <w:bCs/>
          <w:color w:val="000000" w:themeColor="text1"/>
          <w:sz w:val="26"/>
          <w:szCs w:val="24"/>
        </w:rPr>
      </w:pPr>
    </w:p>
    <w:p w14:paraId="124965C3" w14:textId="77777777" w:rsidR="00AA572C" w:rsidRPr="00AA572C" w:rsidRDefault="00AA572C" w:rsidP="00AA572C">
      <w:pPr>
        <w:spacing w:after="40" w:line="360" w:lineRule="auto"/>
        <w:rPr>
          <w:rFonts w:ascii="Times New Roman" w:eastAsia="Times New Roman" w:hAnsi="Times New Roman" w:cs="Times New Roman"/>
          <w:bCs/>
          <w:color w:val="000000" w:themeColor="text1"/>
          <w:sz w:val="24"/>
          <w:szCs w:val="24"/>
        </w:rPr>
      </w:pPr>
      <w:r w:rsidRPr="00AA572C">
        <w:rPr>
          <w:rFonts w:ascii="Times New Roman" w:eastAsia="Times New Roman" w:hAnsi="Times New Roman" w:cs="Times New Roman"/>
          <w:bCs/>
          <w:color w:val="000000" w:themeColor="text1"/>
          <w:sz w:val="24"/>
          <w:szCs w:val="24"/>
        </w:rPr>
        <w:t xml:space="preserve">Med bakgrunn i det vi ser i forskning, og erfaringer i eget fylke, gjorde samarbeidsforum for Dekom Trøndelag, et vedtak om å utvikle et fellestiltak som hele fylket får ta del i. </w:t>
      </w:r>
    </w:p>
    <w:p w14:paraId="24D1B06D" w14:textId="77777777" w:rsidR="00AA572C" w:rsidRPr="00AA572C" w:rsidRDefault="00AA572C" w:rsidP="00AA572C">
      <w:pPr>
        <w:keepNext/>
        <w:keepLines/>
        <w:spacing w:before="240" w:after="0" w:line="360" w:lineRule="auto"/>
        <w:outlineLvl w:val="0"/>
        <w:rPr>
          <w:rFonts w:asciiTheme="majorHAnsi" w:eastAsia="Times New Roman" w:hAnsiTheme="majorHAnsi" w:cstheme="majorBidi"/>
          <w:b/>
          <w:color w:val="000000" w:themeColor="text1"/>
          <w:sz w:val="28"/>
          <w:szCs w:val="32"/>
        </w:rPr>
      </w:pPr>
      <w:r w:rsidRPr="00AA572C">
        <w:rPr>
          <w:rFonts w:asciiTheme="majorHAnsi" w:eastAsiaTheme="majorEastAsia" w:hAnsiTheme="majorHAnsi" w:cstheme="majorBidi"/>
          <w:b/>
          <w:color w:val="000000" w:themeColor="text1"/>
          <w:sz w:val="28"/>
          <w:szCs w:val="32"/>
        </w:rPr>
        <w:br/>
      </w:r>
      <w:r w:rsidRPr="00AA572C">
        <w:rPr>
          <w:rFonts w:asciiTheme="majorHAnsi" w:eastAsia="Times New Roman" w:hAnsiTheme="majorHAnsi" w:cstheme="majorBidi"/>
          <w:b/>
          <w:color w:val="000000" w:themeColor="text1"/>
          <w:sz w:val="28"/>
          <w:szCs w:val="32"/>
        </w:rPr>
        <w:t xml:space="preserve">2. Mål </w:t>
      </w:r>
    </w:p>
    <w:p w14:paraId="1B69FD1F" w14:textId="77777777" w:rsidR="00AA572C" w:rsidRPr="00AA572C" w:rsidRDefault="00AA572C" w:rsidP="00AA572C">
      <w:pPr>
        <w:spacing w:after="40" w:line="360" w:lineRule="auto"/>
        <w:rPr>
          <w:rFonts w:ascii="Times New Roman" w:eastAsia="Times New Roman" w:hAnsi="Times New Roman" w:cs="Times New Roman"/>
          <w:bCs/>
          <w:sz w:val="24"/>
          <w:szCs w:val="24"/>
        </w:rPr>
      </w:pPr>
      <w:r w:rsidRPr="00AA572C">
        <w:rPr>
          <w:rFonts w:ascii="Times New Roman" w:eastAsia="Times New Roman" w:hAnsi="Times New Roman" w:cs="Times New Roman"/>
          <w:bCs/>
          <w:sz w:val="24"/>
          <w:szCs w:val="24"/>
        </w:rPr>
        <w:t>Målet med tiltaket er at lærere skal utvikle en god forståelse av vurdering i det nye læreplanverket LK20, og de skal kunne gjennomføre en vurdering som er i tråd med intensjonene i forskrift og læreplan. Skolene skal utvikle felles forståelse av vurdering i læreplanene og implementering av dem. Skoleeierne skal støtte skolene i dette arbeidet.</w:t>
      </w:r>
    </w:p>
    <w:p w14:paraId="0FF379E4" w14:textId="77777777" w:rsidR="00AA572C" w:rsidRPr="00AA572C" w:rsidRDefault="00AA572C" w:rsidP="00AA572C">
      <w:pPr>
        <w:keepNext/>
        <w:keepLines/>
        <w:spacing w:before="240" w:after="0" w:line="360" w:lineRule="auto"/>
        <w:outlineLvl w:val="0"/>
        <w:rPr>
          <w:rFonts w:asciiTheme="majorHAnsi" w:eastAsia="Times New Roman" w:hAnsiTheme="majorHAnsi" w:cstheme="majorBidi"/>
          <w:b/>
          <w:color w:val="000000" w:themeColor="text1"/>
          <w:sz w:val="28"/>
          <w:szCs w:val="32"/>
        </w:rPr>
      </w:pPr>
      <w:r w:rsidRPr="00AA572C">
        <w:rPr>
          <w:rFonts w:asciiTheme="majorHAnsi" w:eastAsia="Times New Roman" w:hAnsiTheme="majorHAnsi" w:cstheme="majorBidi"/>
          <w:b/>
          <w:color w:val="000000" w:themeColor="text1"/>
          <w:sz w:val="28"/>
          <w:szCs w:val="32"/>
        </w:rPr>
        <w:t>3. Målgruppe</w:t>
      </w:r>
    </w:p>
    <w:p w14:paraId="0A97DBED" w14:textId="77777777" w:rsidR="00AA572C" w:rsidRPr="00AA572C" w:rsidRDefault="00AA572C" w:rsidP="00AA572C">
      <w:pPr>
        <w:spacing w:after="40" w:line="360" w:lineRule="auto"/>
        <w:rPr>
          <w:rFonts w:ascii="Times New Roman" w:eastAsia="Times New Roman" w:hAnsi="Times New Roman" w:cs="Times New Roman"/>
          <w:bCs/>
          <w:sz w:val="24"/>
          <w:szCs w:val="24"/>
        </w:rPr>
      </w:pPr>
      <w:r w:rsidRPr="00AA572C">
        <w:rPr>
          <w:rFonts w:ascii="Times New Roman" w:eastAsia="Times New Roman" w:hAnsi="Times New Roman" w:cs="Times New Roman"/>
          <w:bCs/>
          <w:sz w:val="24"/>
          <w:szCs w:val="24"/>
        </w:rPr>
        <w:t>Lærere på ungdomstrinnet.</w:t>
      </w:r>
    </w:p>
    <w:p w14:paraId="74DD9C8A" w14:textId="77777777" w:rsidR="00AA572C" w:rsidRPr="00AA572C" w:rsidRDefault="00AA572C" w:rsidP="00AA572C">
      <w:pPr>
        <w:keepNext/>
        <w:keepLines/>
        <w:spacing w:before="240" w:after="0" w:line="360" w:lineRule="auto"/>
        <w:outlineLvl w:val="0"/>
        <w:rPr>
          <w:rFonts w:asciiTheme="majorHAnsi" w:eastAsia="Times New Roman" w:hAnsiTheme="majorHAnsi" w:cstheme="majorBidi"/>
          <w:b/>
          <w:color w:val="000000" w:themeColor="text1"/>
          <w:sz w:val="28"/>
          <w:szCs w:val="32"/>
        </w:rPr>
      </w:pPr>
      <w:r w:rsidRPr="00AA572C">
        <w:rPr>
          <w:rFonts w:asciiTheme="majorHAnsi" w:eastAsia="Times New Roman" w:hAnsiTheme="majorHAnsi" w:cstheme="majorBidi"/>
          <w:b/>
          <w:color w:val="000000" w:themeColor="text1"/>
          <w:sz w:val="28"/>
          <w:szCs w:val="32"/>
        </w:rPr>
        <w:t>4. Varighet</w:t>
      </w:r>
    </w:p>
    <w:p w14:paraId="74CB5370" w14:textId="77777777" w:rsidR="00AA572C" w:rsidRPr="00AA572C" w:rsidRDefault="00AA572C" w:rsidP="00AA572C">
      <w:pPr>
        <w:spacing w:after="40" w:line="360" w:lineRule="auto"/>
        <w:rPr>
          <w:rFonts w:ascii="Times New Roman" w:hAnsi="Times New Roman"/>
          <w:sz w:val="24"/>
        </w:rPr>
      </w:pPr>
      <w:r w:rsidRPr="00AA572C">
        <w:rPr>
          <w:rFonts w:ascii="Times New Roman" w:hAnsi="Times New Roman"/>
          <w:sz w:val="24"/>
        </w:rPr>
        <w:t>Pulje 1: Våren 2022 til høsten 2023</w:t>
      </w:r>
    </w:p>
    <w:p w14:paraId="374CF2E3" w14:textId="77777777" w:rsidR="00AA572C" w:rsidRPr="00AA572C" w:rsidRDefault="00AA572C" w:rsidP="00AA572C">
      <w:pPr>
        <w:spacing w:after="40" w:line="360" w:lineRule="auto"/>
        <w:rPr>
          <w:rFonts w:ascii="Times New Roman" w:hAnsi="Times New Roman"/>
          <w:sz w:val="24"/>
        </w:rPr>
      </w:pPr>
      <w:r w:rsidRPr="00AA572C">
        <w:rPr>
          <w:rFonts w:ascii="Times New Roman" w:hAnsi="Times New Roman"/>
          <w:sz w:val="24"/>
        </w:rPr>
        <w:t>Pulje 2: Våren 2024 til høsten 2025</w:t>
      </w:r>
    </w:p>
    <w:p w14:paraId="1E0ECA67" w14:textId="77777777" w:rsidR="00AA572C" w:rsidRPr="00AA572C" w:rsidRDefault="00AA572C" w:rsidP="00AA572C">
      <w:pPr>
        <w:spacing w:after="40" w:line="360" w:lineRule="auto"/>
        <w:rPr>
          <w:rFonts w:ascii="Times New Roman" w:hAnsi="Times New Roman"/>
          <w:sz w:val="24"/>
        </w:rPr>
      </w:pPr>
      <w:r w:rsidRPr="00AA572C">
        <w:rPr>
          <w:rFonts w:ascii="Times New Roman" w:hAnsi="Times New Roman"/>
          <w:sz w:val="24"/>
        </w:rPr>
        <w:t>Deretter blir det en årlig samling framover for begge puljene</w:t>
      </w:r>
    </w:p>
    <w:p w14:paraId="3877A663" w14:textId="653CCCEB" w:rsidR="00AA572C" w:rsidRPr="00AA572C" w:rsidRDefault="00AA572C" w:rsidP="00AA572C">
      <w:pPr>
        <w:spacing w:after="40" w:line="360" w:lineRule="auto"/>
        <w:rPr>
          <w:rFonts w:asciiTheme="majorHAnsi" w:eastAsiaTheme="majorEastAsia" w:hAnsiTheme="majorHAnsi" w:cstheme="majorBidi"/>
          <w:b/>
          <w:color w:val="000000" w:themeColor="text1"/>
          <w:sz w:val="28"/>
          <w:szCs w:val="32"/>
        </w:rPr>
      </w:pPr>
      <w:r>
        <w:rPr>
          <w:rFonts w:ascii="Times New Roman" w:hAnsi="Times New Roman"/>
          <w:sz w:val="24"/>
        </w:rPr>
        <w:br/>
      </w:r>
      <w:r>
        <w:rPr>
          <w:rFonts w:ascii="Times New Roman" w:hAnsi="Times New Roman"/>
          <w:sz w:val="24"/>
        </w:rPr>
        <w:br/>
      </w:r>
      <w:r>
        <w:rPr>
          <w:rFonts w:asciiTheme="majorHAnsi" w:eastAsiaTheme="majorEastAsia" w:hAnsiTheme="majorHAnsi" w:cstheme="majorBidi"/>
          <w:b/>
          <w:color w:val="000000" w:themeColor="text1"/>
          <w:sz w:val="28"/>
          <w:szCs w:val="32"/>
        </w:rPr>
        <w:lastRenderedPageBreak/>
        <w:br/>
      </w:r>
      <w:r w:rsidRPr="00AA572C">
        <w:rPr>
          <w:rFonts w:asciiTheme="majorHAnsi" w:eastAsiaTheme="majorEastAsia" w:hAnsiTheme="majorHAnsi" w:cstheme="majorBidi"/>
          <w:b/>
          <w:color w:val="000000" w:themeColor="text1"/>
          <w:sz w:val="28"/>
          <w:szCs w:val="32"/>
        </w:rPr>
        <w:t>5. Innhold</w:t>
      </w:r>
    </w:p>
    <w:p w14:paraId="6136FD0E" w14:textId="77777777" w:rsidR="00AA572C" w:rsidRPr="00AA572C" w:rsidRDefault="00AA572C" w:rsidP="00AA572C">
      <w:pPr>
        <w:spacing w:after="40" w:line="360" w:lineRule="auto"/>
        <w:rPr>
          <w:rFonts w:ascii="Times New Roman" w:eastAsia="Times New Roman" w:hAnsi="Times New Roman" w:cs="Times New Roman"/>
          <w:sz w:val="24"/>
          <w:szCs w:val="24"/>
        </w:rPr>
      </w:pPr>
      <w:r w:rsidRPr="00AA572C">
        <w:rPr>
          <w:rFonts w:ascii="Times New Roman" w:eastAsia="Times New Roman" w:hAnsi="Times New Roman" w:cs="Times New Roman"/>
          <w:sz w:val="24"/>
          <w:szCs w:val="24"/>
        </w:rPr>
        <w:t xml:space="preserve">Vurderingsforskriften. Læreplanforståelse. Begrepsforståelse – summativ, formativ vurdering, karakter, standpunktkarakter og eksamen. </w:t>
      </w:r>
    </w:p>
    <w:p w14:paraId="1596DACE" w14:textId="77777777" w:rsidR="00AA572C" w:rsidRPr="00AA572C" w:rsidRDefault="00AA572C" w:rsidP="00AA572C">
      <w:pPr>
        <w:spacing w:after="40" w:line="360" w:lineRule="auto"/>
        <w:rPr>
          <w:rFonts w:ascii="Times New Roman" w:eastAsia="Times New Roman" w:hAnsi="Times New Roman" w:cs="Times New Roman"/>
          <w:sz w:val="24"/>
          <w:szCs w:val="24"/>
        </w:rPr>
      </w:pPr>
    </w:p>
    <w:p w14:paraId="5754C6B5" w14:textId="77777777" w:rsidR="00AA572C" w:rsidRPr="00AA572C" w:rsidRDefault="00AA572C" w:rsidP="00AA572C">
      <w:pPr>
        <w:spacing w:after="40" w:line="360" w:lineRule="auto"/>
        <w:rPr>
          <w:rFonts w:ascii="Times New Roman" w:eastAsia="Times New Roman" w:hAnsi="Times New Roman" w:cs="Times New Roman"/>
          <w:sz w:val="24"/>
          <w:szCs w:val="24"/>
        </w:rPr>
      </w:pPr>
      <w:r w:rsidRPr="00AA572C">
        <w:rPr>
          <w:rFonts w:ascii="Times New Roman" w:eastAsia="Times New Roman" w:hAnsi="Times New Roman" w:cs="Times New Roman"/>
          <w:sz w:val="24"/>
          <w:szCs w:val="24"/>
        </w:rPr>
        <w:t xml:space="preserve">Om felles kultur og tolkningsfellesskap for vurdering. Hvordan arbeider de med dette på skolene? </w:t>
      </w:r>
    </w:p>
    <w:p w14:paraId="4CCEFC30" w14:textId="77777777" w:rsidR="00AA572C" w:rsidRPr="00AA572C" w:rsidRDefault="00AA572C" w:rsidP="00AA572C">
      <w:pPr>
        <w:keepNext/>
        <w:keepLines/>
        <w:spacing w:before="240" w:after="0" w:line="360" w:lineRule="auto"/>
        <w:outlineLvl w:val="0"/>
        <w:rPr>
          <w:rFonts w:asciiTheme="majorHAnsi" w:eastAsia="Times New Roman" w:hAnsiTheme="majorHAnsi" w:cstheme="majorBidi"/>
          <w:b/>
          <w:color w:val="000000" w:themeColor="text1"/>
          <w:sz w:val="28"/>
          <w:szCs w:val="32"/>
        </w:rPr>
      </w:pPr>
      <w:r w:rsidRPr="00AA572C">
        <w:rPr>
          <w:rFonts w:asciiTheme="majorHAnsi" w:eastAsia="Times New Roman" w:hAnsiTheme="majorHAnsi" w:cstheme="majorBidi"/>
          <w:b/>
          <w:color w:val="000000" w:themeColor="text1"/>
          <w:sz w:val="28"/>
          <w:szCs w:val="32"/>
        </w:rPr>
        <w:t xml:space="preserve">6. Organisering  </w:t>
      </w:r>
    </w:p>
    <w:p w14:paraId="3BAD97A7" w14:textId="77777777" w:rsidR="00AA572C" w:rsidRPr="00AA572C" w:rsidRDefault="00AA572C" w:rsidP="00AA572C">
      <w:pPr>
        <w:spacing w:after="40" w:line="360" w:lineRule="auto"/>
        <w:rPr>
          <w:rFonts w:ascii="Times New Roman" w:eastAsia="Times New Roman" w:hAnsi="Times New Roman" w:cs="Times New Roman"/>
          <w:sz w:val="24"/>
          <w:szCs w:val="24"/>
        </w:rPr>
      </w:pPr>
      <w:r w:rsidRPr="00AA572C">
        <w:rPr>
          <w:rFonts w:ascii="Times New Roman" w:eastAsia="Times New Roman" w:hAnsi="Times New Roman" w:cs="Times New Roman"/>
          <w:sz w:val="24"/>
          <w:szCs w:val="24"/>
        </w:rPr>
        <w:t xml:space="preserve">Samlinger. Arbeidsoppdrag mellom samlingene. </w:t>
      </w:r>
    </w:p>
    <w:p w14:paraId="0D9FAFD2" w14:textId="77777777" w:rsidR="00AA572C" w:rsidRPr="00AA572C" w:rsidRDefault="00AA572C" w:rsidP="00AA572C">
      <w:pPr>
        <w:spacing w:after="40" w:line="360" w:lineRule="auto"/>
        <w:rPr>
          <w:rFonts w:ascii="Times New Roman" w:eastAsia="Times New Roman" w:hAnsi="Times New Roman" w:cs="Times New Roman"/>
          <w:sz w:val="24"/>
          <w:szCs w:val="24"/>
        </w:rPr>
      </w:pPr>
    </w:p>
    <w:p w14:paraId="4228D013" w14:textId="77777777" w:rsidR="00AA572C" w:rsidRPr="00AA572C" w:rsidRDefault="00AA572C" w:rsidP="00AA572C">
      <w:pPr>
        <w:spacing w:after="40" w:line="360" w:lineRule="auto"/>
        <w:rPr>
          <w:rFonts w:ascii="Times New Roman" w:hAnsi="Times New Roman"/>
          <w:sz w:val="24"/>
        </w:rPr>
      </w:pPr>
      <w:r w:rsidRPr="00AA572C">
        <w:rPr>
          <w:rFonts w:ascii="Times New Roman" w:hAnsi="Times New Roman"/>
          <w:sz w:val="24"/>
        </w:rPr>
        <w:t>Samlinger:</w:t>
      </w:r>
    </w:p>
    <w:p w14:paraId="32C33900" w14:textId="77777777" w:rsidR="00AA572C" w:rsidRPr="00AA572C" w:rsidRDefault="00AA572C" w:rsidP="00AA572C">
      <w:pPr>
        <w:spacing w:after="40" w:line="360" w:lineRule="auto"/>
        <w:rPr>
          <w:rFonts w:ascii="Times New Roman" w:hAnsi="Times New Roman"/>
          <w:sz w:val="24"/>
        </w:rPr>
      </w:pPr>
      <w:r w:rsidRPr="00AA572C">
        <w:rPr>
          <w:rFonts w:ascii="Times New Roman" w:hAnsi="Times New Roman"/>
          <w:sz w:val="24"/>
        </w:rPr>
        <w:t xml:space="preserve">1. semester: </w:t>
      </w:r>
      <w:r w:rsidRPr="00AA572C">
        <w:rPr>
          <w:rFonts w:ascii="Times New Roman" w:hAnsi="Times New Roman"/>
          <w:sz w:val="24"/>
        </w:rPr>
        <w:tab/>
        <w:t xml:space="preserve">Samling 1: </w:t>
      </w:r>
      <w:r w:rsidRPr="00AA572C">
        <w:rPr>
          <w:rFonts w:ascii="Times New Roman" w:hAnsi="Times New Roman"/>
          <w:sz w:val="24"/>
        </w:rPr>
        <w:tab/>
        <w:t>Fysisk heldag</w:t>
      </w:r>
    </w:p>
    <w:p w14:paraId="066E9583" w14:textId="77777777" w:rsidR="00AA572C" w:rsidRPr="00AA572C" w:rsidRDefault="00AA572C" w:rsidP="00AA572C">
      <w:pPr>
        <w:spacing w:after="40" w:line="360" w:lineRule="auto"/>
        <w:rPr>
          <w:rFonts w:ascii="Times New Roman" w:hAnsi="Times New Roman"/>
          <w:sz w:val="24"/>
        </w:rPr>
      </w:pPr>
      <w:r w:rsidRPr="00AA572C">
        <w:rPr>
          <w:rFonts w:ascii="Times New Roman" w:hAnsi="Times New Roman"/>
          <w:sz w:val="24"/>
        </w:rPr>
        <w:tab/>
      </w:r>
      <w:r w:rsidRPr="00AA572C">
        <w:rPr>
          <w:rFonts w:ascii="Times New Roman" w:hAnsi="Times New Roman"/>
          <w:sz w:val="24"/>
        </w:rPr>
        <w:tab/>
        <w:t xml:space="preserve">Samling 2: </w:t>
      </w:r>
      <w:r w:rsidRPr="00AA572C">
        <w:rPr>
          <w:rFonts w:ascii="Times New Roman" w:hAnsi="Times New Roman"/>
          <w:sz w:val="24"/>
        </w:rPr>
        <w:tab/>
        <w:t>Digital halvdag</w:t>
      </w:r>
    </w:p>
    <w:p w14:paraId="5B6A7444" w14:textId="77777777" w:rsidR="00AA572C" w:rsidRPr="00AA572C" w:rsidRDefault="00AA572C" w:rsidP="00AA572C">
      <w:pPr>
        <w:spacing w:after="40" w:line="360" w:lineRule="auto"/>
        <w:rPr>
          <w:rFonts w:ascii="Times New Roman" w:hAnsi="Times New Roman"/>
          <w:sz w:val="24"/>
        </w:rPr>
      </w:pPr>
      <w:r w:rsidRPr="00AA572C">
        <w:rPr>
          <w:rFonts w:ascii="Times New Roman" w:hAnsi="Times New Roman"/>
          <w:sz w:val="24"/>
        </w:rPr>
        <w:t>2. semester:</w:t>
      </w:r>
      <w:r w:rsidRPr="00AA572C">
        <w:rPr>
          <w:rFonts w:ascii="Times New Roman" w:hAnsi="Times New Roman"/>
          <w:sz w:val="24"/>
        </w:rPr>
        <w:tab/>
        <w:t xml:space="preserve">Samling 3: </w:t>
      </w:r>
      <w:r w:rsidRPr="00AA572C">
        <w:rPr>
          <w:rFonts w:ascii="Times New Roman" w:hAnsi="Times New Roman"/>
          <w:sz w:val="24"/>
        </w:rPr>
        <w:tab/>
        <w:t>Fysisk heldag</w:t>
      </w:r>
    </w:p>
    <w:p w14:paraId="1DFB3EF4" w14:textId="77777777" w:rsidR="00AA572C" w:rsidRPr="00AA572C" w:rsidRDefault="00AA572C" w:rsidP="00AA572C">
      <w:pPr>
        <w:spacing w:after="40" w:line="360" w:lineRule="auto"/>
        <w:rPr>
          <w:rFonts w:ascii="Times New Roman" w:hAnsi="Times New Roman"/>
          <w:sz w:val="24"/>
        </w:rPr>
      </w:pPr>
      <w:r w:rsidRPr="00AA572C">
        <w:rPr>
          <w:rFonts w:ascii="Times New Roman" w:hAnsi="Times New Roman"/>
          <w:sz w:val="24"/>
        </w:rPr>
        <w:tab/>
      </w:r>
      <w:r w:rsidRPr="00AA572C">
        <w:rPr>
          <w:rFonts w:ascii="Times New Roman" w:hAnsi="Times New Roman"/>
          <w:sz w:val="24"/>
        </w:rPr>
        <w:tab/>
      </w:r>
      <w:r w:rsidRPr="00AA572C">
        <w:rPr>
          <w:rFonts w:ascii="Times New Roman" w:hAnsi="Times New Roman"/>
          <w:sz w:val="24"/>
        </w:rPr>
        <w:tab/>
      </w:r>
      <w:r w:rsidRPr="00AA572C">
        <w:rPr>
          <w:rFonts w:ascii="Times New Roman" w:hAnsi="Times New Roman"/>
          <w:sz w:val="24"/>
        </w:rPr>
        <w:tab/>
        <w:t>Oppdrag og intern samling</w:t>
      </w:r>
    </w:p>
    <w:p w14:paraId="4AAADFD8" w14:textId="77777777" w:rsidR="00AA572C" w:rsidRPr="00AA572C" w:rsidRDefault="00AA572C" w:rsidP="00AA572C">
      <w:pPr>
        <w:spacing w:after="40" w:line="360" w:lineRule="auto"/>
        <w:rPr>
          <w:rFonts w:ascii="Times New Roman" w:hAnsi="Times New Roman"/>
          <w:sz w:val="24"/>
        </w:rPr>
      </w:pPr>
      <w:r w:rsidRPr="00AA572C">
        <w:rPr>
          <w:rFonts w:ascii="Times New Roman" w:hAnsi="Times New Roman"/>
          <w:sz w:val="24"/>
        </w:rPr>
        <w:t>3. semester:</w:t>
      </w:r>
      <w:r w:rsidRPr="00AA572C">
        <w:rPr>
          <w:rFonts w:ascii="Times New Roman" w:hAnsi="Times New Roman"/>
          <w:sz w:val="24"/>
        </w:rPr>
        <w:tab/>
        <w:t xml:space="preserve">Samling 4: </w:t>
      </w:r>
      <w:r w:rsidRPr="00AA572C">
        <w:rPr>
          <w:rFonts w:ascii="Times New Roman" w:hAnsi="Times New Roman"/>
          <w:sz w:val="24"/>
        </w:rPr>
        <w:tab/>
        <w:t>Digital halvdag</w:t>
      </w:r>
    </w:p>
    <w:p w14:paraId="185A4D12" w14:textId="77777777" w:rsidR="00AA572C" w:rsidRPr="00AA572C" w:rsidRDefault="00AA572C" w:rsidP="00AA572C">
      <w:pPr>
        <w:spacing w:after="40" w:line="360" w:lineRule="auto"/>
        <w:rPr>
          <w:rFonts w:ascii="Times New Roman" w:hAnsi="Times New Roman"/>
          <w:sz w:val="24"/>
        </w:rPr>
      </w:pPr>
      <w:r w:rsidRPr="00AA572C">
        <w:rPr>
          <w:rFonts w:ascii="Times New Roman" w:hAnsi="Times New Roman"/>
          <w:sz w:val="24"/>
        </w:rPr>
        <w:tab/>
      </w:r>
      <w:r w:rsidRPr="00AA572C">
        <w:rPr>
          <w:rFonts w:ascii="Times New Roman" w:hAnsi="Times New Roman"/>
          <w:sz w:val="24"/>
        </w:rPr>
        <w:tab/>
      </w:r>
      <w:r w:rsidRPr="00AA572C">
        <w:rPr>
          <w:rFonts w:ascii="Times New Roman" w:hAnsi="Times New Roman"/>
          <w:sz w:val="24"/>
        </w:rPr>
        <w:tab/>
      </w:r>
      <w:r w:rsidRPr="00AA572C">
        <w:rPr>
          <w:rFonts w:ascii="Times New Roman" w:hAnsi="Times New Roman"/>
          <w:sz w:val="24"/>
        </w:rPr>
        <w:tab/>
        <w:t>Oppdrag og intern samling</w:t>
      </w:r>
    </w:p>
    <w:p w14:paraId="5B4B58B8" w14:textId="77777777" w:rsidR="00AA572C" w:rsidRPr="00AA572C" w:rsidRDefault="00AA572C" w:rsidP="00AA572C">
      <w:pPr>
        <w:spacing w:after="40" w:line="360" w:lineRule="auto"/>
        <w:rPr>
          <w:rFonts w:ascii="Times New Roman" w:hAnsi="Times New Roman"/>
          <w:sz w:val="24"/>
        </w:rPr>
      </w:pPr>
      <w:r w:rsidRPr="00AA572C">
        <w:rPr>
          <w:rFonts w:ascii="Times New Roman" w:hAnsi="Times New Roman"/>
          <w:sz w:val="24"/>
        </w:rPr>
        <w:t>4. semester:</w:t>
      </w:r>
      <w:r w:rsidRPr="00AA572C">
        <w:rPr>
          <w:rFonts w:ascii="Times New Roman" w:hAnsi="Times New Roman"/>
          <w:sz w:val="24"/>
        </w:rPr>
        <w:tab/>
        <w:t>Samling 5:</w:t>
      </w:r>
      <w:r w:rsidRPr="00AA572C">
        <w:rPr>
          <w:rFonts w:ascii="Times New Roman" w:hAnsi="Times New Roman"/>
          <w:sz w:val="24"/>
        </w:rPr>
        <w:tab/>
        <w:t>Fysisk heldag</w:t>
      </w:r>
    </w:p>
    <w:p w14:paraId="749778FC" w14:textId="77777777" w:rsidR="00AA572C" w:rsidRPr="00AA572C" w:rsidRDefault="00AA572C" w:rsidP="00AA572C">
      <w:pPr>
        <w:spacing w:after="40" w:line="360" w:lineRule="auto"/>
        <w:rPr>
          <w:rFonts w:ascii="Times New Roman" w:hAnsi="Times New Roman"/>
          <w:sz w:val="24"/>
        </w:rPr>
      </w:pPr>
      <w:r w:rsidRPr="00AA572C">
        <w:rPr>
          <w:rFonts w:ascii="Times New Roman" w:hAnsi="Times New Roman"/>
          <w:sz w:val="24"/>
        </w:rPr>
        <w:tab/>
      </w:r>
      <w:r w:rsidRPr="00AA572C">
        <w:rPr>
          <w:rFonts w:ascii="Times New Roman" w:hAnsi="Times New Roman"/>
          <w:sz w:val="24"/>
        </w:rPr>
        <w:tab/>
      </w:r>
      <w:r w:rsidRPr="00AA572C">
        <w:rPr>
          <w:rFonts w:ascii="Times New Roman" w:hAnsi="Times New Roman"/>
          <w:sz w:val="24"/>
        </w:rPr>
        <w:tab/>
      </w:r>
      <w:r w:rsidRPr="00AA572C">
        <w:rPr>
          <w:rFonts w:ascii="Times New Roman" w:hAnsi="Times New Roman"/>
          <w:sz w:val="24"/>
        </w:rPr>
        <w:tab/>
        <w:t>Oppdrag og intern samling</w:t>
      </w:r>
    </w:p>
    <w:p w14:paraId="72095C32" w14:textId="77777777" w:rsidR="00AA572C" w:rsidRPr="00AA572C" w:rsidRDefault="00AA572C" w:rsidP="00AA572C">
      <w:pPr>
        <w:spacing w:after="40" w:line="360" w:lineRule="auto"/>
        <w:rPr>
          <w:rFonts w:ascii="Times New Roman" w:hAnsi="Times New Roman"/>
          <w:sz w:val="24"/>
        </w:rPr>
      </w:pPr>
      <w:r w:rsidRPr="00AA572C">
        <w:rPr>
          <w:rFonts w:ascii="Times New Roman" w:hAnsi="Times New Roman"/>
          <w:sz w:val="24"/>
        </w:rPr>
        <w:t xml:space="preserve">Fra 5. semester: </w:t>
      </w:r>
      <w:r w:rsidRPr="00AA572C">
        <w:rPr>
          <w:rFonts w:ascii="Times New Roman" w:hAnsi="Times New Roman"/>
          <w:sz w:val="24"/>
        </w:rPr>
        <w:tab/>
      </w:r>
      <w:r w:rsidRPr="00AA572C">
        <w:rPr>
          <w:rFonts w:ascii="Times New Roman" w:hAnsi="Times New Roman"/>
          <w:sz w:val="24"/>
        </w:rPr>
        <w:tab/>
        <w:t xml:space="preserve">Årlig samling </w:t>
      </w:r>
    </w:p>
    <w:p w14:paraId="6C22E5B8" w14:textId="77777777" w:rsidR="00AA572C" w:rsidRPr="00AA572C" w:rsidRDefault="00AA572C" w:rsidP="00AA572C">
      <w:pPr>
        <w:spacing w:after="40" w:line="360" w:lineRule="auto"/>
        <w:rPr>
          <w:rFonts w:ascii="Times New Roman" w:eastAsia="Times New Roman" w:hAnsi="Times New Roman" w:cs="Times New Roman"/>
          <w:sz w:val="24"/>
          <w:szCs w:val="24"/>
        </w:rPr>
      </w:pPr>
    </w:p>
    <w:p w14:paraId="11D3B1EB" w14:textId="77777777" w:rsidR="00AA572C" w:rsidRPr="00AA572C" w:rsidRDefault="00AA572C" w:rsidP="00AA572C">
      <w:pPr>
        <w:spacing w:after="40" w:line="360" w:lineRule="auto"/>
        <w:rPr>
          <w:rFonts w:ascii="Times New Roman" w:eastAsia="Times New Roman" w:hAnsi="Times New Roman" w:cs="Times New Roman"/>
          <w:sz w:val="24"/>
          <w:szCs w:val="24"/>
        </w:rPr>
      </w:pPr>
      <w:r w:rsidRPr="00AA572C">
        <w:rPr>
          <w:rFonts w:ascii="Times New Roman" w:eastAsia="Times New Roman" w:hAnsi="Times New Roman" w:cs="Times New Roman"/>
          <w:sz w:val="24"/>
          <w:szCs w:val="24"/>
        </w:rPr>
        <w:t>Samling 1 er felles for fagene norsk, matematikk og engelsk. Første halvdel er felles for alle, mens det i andre halvdel blir paralleller for norsk, matematikk og engelsk.</w:t>
      </w:r>
    </w:p>
    <w:p w14:paraId="6F3D1CA0" w14:textId="77777777" w:rsidR="00AA572C" w:rsidRPr="00AA572C" w:rsidRDefault="00AA572C" w:rsidP="00AA572C">
      <w:pPr>
        <w:spacing w:after="40" w:line="360" w:lineRule="auto"/>
        <w:rPr>
          <w:rFonts w:ascii="Times New Roman" w:eastAsia="Times New Roman" w:hAnsi="Times New Roman" w:cs="Times New Roman"/>
          <w:sz w:val="24"/>
          <w:szCs w:val="24"/>
        </w:rPr>
      </w:pPr>
      <w:r w:rsidRPr="00AA572C">
        <w:rPr>
          <w:rFonts w:ascii="Times New Roman" w:eastAsia="Times New Roman" w:hAnsi="Times New Roman" w:cs="Times New Roman"/>
          <w:sz w:val="24"/>
          <w:szCs w:val="24"/>
        </w:rPr>
        <w:t>De resterende samlingene er fagspesifikke (norsk, matematikk og engelsk).</w:t>
      </w:r>
    </w:p>
    <w:p w14:paraId="463C6814" w14:textId="688E3DB1" w:rsidR="00AA572C" w:rsidRPr="00AA572C" w:rsidRDefault="00AA572C" w:rsidP="00AA572C">
      <w:pPr>
        <w:keepNext/>
        <w:keepLines/>
        <w:spacing w:before="240" w:after="0" w:line="360" w:lineRule="auto"/>
        <w:outlineLvl w:val="0"/>
        <w:rPr>
          <w:rFonts w:asciiTheme="majorHAnsi" w:eastAsia="Times New Roman" w:hAnsiTheme="majorHAnsi" w:cstheme="majorBidi"/>
          <w:b/>
          <w:color w:val="000000" w:themeColor="text1"/>
          <w:sz w:val="28"/>
          <w:szCs w:val="32"/>
        </w:rPr>
      </w:pPr>
      <w:r>
        <w:rPr>
          <w:rFonts w:asciiTheme="majorHAnsi" w:eastAsia="Times New Roman" w:hAnsiTheme="majorHAnsi" w:cstheme="majorBidi"/>
          <w:b/>
          <w:color w:val="000000" w:themeColor="text1"/>
          <w:sz w:val="28"/>
          <w:szCs w:val="32"/>
        </w:rPr>
        <w:br/>
      </w:r>
      <w:r w:rsidRPr="00AA572C">
        <w:rPr>
          <w:rFonts w:asciiTheme="majorHAnsi" w:eastAsia="Times New Roman" w:hAnsiTheme="majorHAnsi" w:cstheme="majorBidi"/>
          <w:b/>
          <w:color w:val="000000" w:themeColor="text1"/>
          <w:sz w:val="28"/>
          <w:szCs w:val="32"/>
        </w:rPr>
        <w:t>7. Bidragsytere</w:t>
      </w:r>
    </w:p>
    <w:p w14:paraId="1671A800" w14:textId="77777777" w:rsidR="00AA572C" w:rsidRPr="00AA572C" w:rsidRDefault="00AA572C" w:rsidP="00AA572C">
      <w:pPr>
        <w:spacing w:after="40" w:line="360" w:lineRule="auto"/>
        <w:rPr>
          <w:rFonts w:ascii="Times New Roman" w:eastAsia="Times New Roman" w:hAnsi="Times New Roman" w:cs="Times New Roman"/>
          <w:sz w:val="24"/>
          <w:szCs w:val="24"/>
        </w:rPr>
      </w:pPr>
      <w:r w:rsidRPr="00AA572C">
        <w:rPr>
          <w:rFonts w:ascii="Times New Roman" w:eastAsia="Times New Roman" w:hAnsi="Times New Roman" w:cs="Times New Roman"/>
          <w:sz w:val="24"/>
          <w:szCs w:val="24"/>
        </w:rPr>
        <w:t xml:space="preserve">NTNU ved Skrivesenteret og Matematikksenteret. </w:t>
      </w:r>
    </w:p>
    <w:p w14:paraId="2146CE96" w14:textId="77777777" w:rsidR="00AA572C" w:rsidRPr="00AA572C" w:rsidRDefault="00AA572C" w:rsidP="00AA572C">
      <w:pPr>
        <w:spacing w:after="40" w:line="360" w:lineRule="auto"/>
        <w:rPr>
          <w:rFonts w:ascii="Times New Roman" w:eastAsia="Times New Roman" w:hAnsi="Times New Roman" w:cs="Times New Roman"/>
          <w:sz w:val="24"/>
          <w:szCs w:val="24"/>
        </w:rPr>
      </w:pPr>
      <w:r w:rsidRPr="00AA572C">
        <w:rPr>
          <w:rFonts w:ascii="Times New Roman" w:eastAsia="Times New Roman" w:hAnsi="Times New Roman" w:cs="Times New Roman"/>
          <w:sz w:val="24"/>
          <w:szCs w:val="24"/>
        </w:rPr>
        <w:t xml:space="preserve">Høgskolen i Østfold ved Fremmedspråksenteret.  </w:t>
      </w:r>
    </w:p>
    <w:p w14:paraId="34700804" w14:textId="77777777" w:rsidR="00AA572C" w:rsidRPr="00AA572C" w:rsidRDefault="00AA572C" w:rsidP="00AA572C">
      <w:pPr>
        <w:spacing w:after="40" w:line="360" w:lineRule="auto"/>
        <w:rPr>
          <w:rFonts w:ascii="Times New Roman" w:eastAsia="Times New Roman" w:hAnsi="Times New Roman" w:cs="Times New Roman"/>
          <w:sz w:val="24"/>
          <w:szCs w:val="24"/>
        </w:rPr>
      </w:pPr>
    </w:p>
    <w:p w14:paraId="48F04BC8" w14:textId="77777777" w:rsidR="00AA572C" w:rsidRPr="00AA572C" w:rsidRDefault="00AA572C" w:rsidP="00AA572C">
      <w:pPr>
        <w:keepNext/>
        <w:keepLines/>
        <w:spacing w:before="240" w:after="0" w:line="360" w:lineRule="auto"/>
        <w:outlineLvl w:val="0"/>
        <w:rPr>
          <w:rFonts w:asciiTheme="majorHAnsi" w:eastAsia="Times New Roman" w:hAnsiTheme="majorHAnsi" w:cstheme="majorBidi"/>
          <w:b/>
          <w:color w:val="000000" w:themeColor="text1"/>
          <w:sz w:val="28"/>
          <w:szCs w:val="32"/>
        </w:rPr>
      </w:pPr>
      <w:r w:rsidRPr="00AA572C">
        <w:rPr>
          <w:rFonts w:asciiTheme="majorHAnsi" w:eastAsia="Times New Roman" w:hAnsiTheme="majorHAnsi" w:cstheme="majorBidi"/>
          <w:b/>
          <w:color w:val="000000" w:themeColor="text1"/>
          <w:sz w:val="28"/>
          <w:szCs w:val="32"/>
        </w:rPr>
        <w:lastRenderedPageBreak/>
        <w:t>8. Forpliktelser</w:t>
      </w:r>
    </w:p>
    <w:p w14:paraId="459818B0" w14:textId="77777777" w:rsidR="00AA572C" w:rsidRPr="00AA572C" w:rsidRDefault="00AA572C" w:rsidP="00AA572C">
      <w:pPr>
        <w:spacing w:after="40" w:line="360" w:lineRule="auto"/>
        <w:rPr>
          <w:rFonts w:ascii="Times New Roman" w:eastAsia="Times New Roman" w:hAnsi="Times New Roman" w:cs="Times New Roman"/>
          <w:sz w:val="24"/>
          <w:szCs w:val="24"/>
        </w:rPr>
      </w:pPr>
      <w:r w:rsidRPr="00AA572C">
        <w:rPr>
          <w:rFonts w:ascii="Times New Roman" w:eastAsia="Times New Roman" w:hAnsi="Times New Roman" w:cs="Times New Roman"/>
          <w:sz w:val="24"/>
          <w:szCs w:val="24"/>
        </w:rPr>
        <w:t xml:space="preserve">Skoleledere forplikter seg til å legge til rette for at lærere på de aktuelle trinn får anledning til å delta på samlinger og gjennomføre mellomarbeid mellom samlingene. De skal også legge til rette for interne samlinger knyttet til arbeidsoppdragene i semester 2, 3 og 4. </w:t>
      </w:r>
    </w:p>
    <w:p w14:paraId="224DC218" w14:textId="77777777" w:rsidR="00AA572C" w:rsidRPr="00AA572C" w:rsidRDefault="00AA572C" w:rsidP="00AA572C">
      <w:pPr>
        <w:spacing w:after="40" w:line="360" w:lineRule="auto"/>
        <w:rPr>
          <w:rFonts w:ascii="Times New Roman" w:eastAsia="Times New Roman" w:hAnsi="Times New Roman" w:cs="Times New Roman"/>
          <w:sz w:val="24"/>
          <w:szCs w:val="24"/>
        </w:rPr>
      </w:pPr>
    </w:p>
    <w:p w14:paraId="1C1BDEA0" w14:textId="77777777" w:rsidR="00AA572C" w:rsidRPr="00AA572C" w:rsidRDefault="00AA572C" w:rsidP="00AA572C">
      <w:pPr>
        <w:keepNext/>
        <w:keepLines/>
        <w:spacing w:before="40" w:after="0" w:line="360" w:lineRule="auto"/>
        <w:outlineLvl w:val="1"/>
        <w:rPr>
          <w:rFonts w:ascii="Times New Roman" w:eastAsia="Times New Roman" w:hAnsi="Times New Roman" w:cs="Times New Roman"/>
          <w:bCs/>
          <w:color w:val="000000" w:themeColor="text1"/>
          <w:sz w:val="26"/>
          <w:szCs w:val="24"/>
        </w:rPr>
      </w:pPr>
      <w:r w:rsidRPr="00AA572C">
        <w:rPr>
          <w:rFonts w:ascii="Times New Roman" w:eastAsia="Times New Roman" w:hAnsi="Times New Roman" w:cs="Times New Roman"/>
          <w:b/>
          <w:bCs/>
          <w:color w:val="000000" w:themeColor="text1"/>
          <w:sz w:val="26"/>
          <w:szCs w:val="24"/>
        </w:rPr>
        <w:t>Litteratur</w:t>
      </w:r>
    </w:p>
    <w:p w14:paraId="743853AC" w14:textId="77777777" w:rsidR="00AA572C" w:rsidRPr="00AA572C" w:rsidRDefault="00AA572C" w:rsidP="00AA572C">
      <w:pPr>
        <w:spacing w:after="40" w:line="360" w:lineRule="auto"/>
        <w:ind w:left="480" w:hanging="480"/>
        <w:rPr>
          <w:rFonts w:ascii="Times New Roman" w:eastAsia="Times New Roman" w:hAnsi="Times New Roman" w:cs="Times New Roman"/>
          <w:sz w:val="24"/>
          <w:szCs w:val="24"/>
          <w:lang w:val="en-US"/>
        </w:rPr>
      </w:pPr>
      <w:proofErr w:type="spellStart"/>
      <w:r w:rsidRPr="00AA572C">
        <w:rPr>
          <w:rFonts w:ascii="Times New Roman" w:eastAsia="Times New Roman" w:hAnsi="Times New Roman" w:cs="Times New Roman"/>
          <w:sz w:val="24"/>
          <w:szCs w:val="24"/>
        </w:rPr>
        <w:t>Brookhart</w:t>
      </w:r>
      <w:proofErr w:type="spellEnd"/>
      <w:r w:rsidRPr="00AA572C">
        <w:rPr>
          <w:rFonts w:ascii="Times New Roman" w:eastAsia="Times New Roman" w:hAnsi="Times New Roman" w:cs="Times New Roman"/>
          <w:sz w:val="24"/>
          <w:szCs w:val="24"/>
        </w:rPr>
        <w:t xml:space="preserve">, S. M., </w:t>
      </w:r>
      <w:proofErr w:type="spellStart"/>
      <w:r w:rsidRPr="00AA572C">
        <w:rPr>
          <w:rFonts w:ascii="Times New Roman" w:eastAsia="Times New Roman" w:hAnsi="Times New Roman" w:cs="Times New Roman"/>
          <w:sz w:val="24"/>
          <w:szCs w:val="24"/>
        </w:rPr>
        <w:t>Guskey</w:t>
      </w:r>
      <w:proofErr w:type="spellEnd"/>
      <w:r w:rsidRPr="00AA572C">
        <w:rPr>
          <w:rFonts w:ascii="Times New Roman" w:eastAsia="Times New Roman" w:hAnsi="Times New Roman" w:cs="Times New Roman"/>
          <w:sz w:val="24"/>
          <w:szCs w:val="24"/>
        </w:rPr>
        <w:t xml:space="preserve">, T. R., Bowers, A. J., </w:t>
      </w:r>
      <w:proofErr w:type="spellStart"/>
      <w:r w:rsidRPr="00AA572C">
        <w:rPr>
          <w:rFonts w:ascii="Times New Roman" w:eastAsia="Times New Roman" w:hAnsi="Times New Roman" w:cs="Times New Roman"/>
          <w:sz w:val="24"/>
          <w:szCs w:val="24"/>
        </w:rPr>
        <w:t>McMillan</w:t>
      </w:r>
      <w:proofErr w:type="spellEnd"/>
      <w:r w:rsidRPr="00AA572C">
        <w:rPr>
          <w:rFonts w:ascii="Times New Roman" w:eastAsia="Times New Roman" w:hAnsi="Times New Roman" w:cs="Times New Roman"/>
          <w:sz w:val="24"/>
          <w:szCs w:val="24"/>
        </w:rPr>
        <w:t xml:space="preserve">, J. H., Smith, J. K., Smith, L. F., Stevens, M. T., &amp; </w:t>
      </w:r>
      <w:proofErr w:type="spellStart"/>
      <w:r w:rsidRPr="00AA572C">
        <w:rPr>
          <w:rFonts w:ascii="Times New Roman" w:eastAsia="Times New Roman" w:hAnsi="Times New Roman" w:cs="Times New Roman"/>
          <w:sz w:val="24"/>
          <w:szCs w:val="24"/>
        </w:rPr>
        <w:t>Welsh</w:t>
      </w:r>
      <w:proofErr w:type="spellEnd"/>
      <w:r w:rsidRPr="00AA572C">
        <w:rPr>
          <w:rFonts w:ascii="Times New Roman" w:eastAsia="Times New Roman" w:hAnsi="Times New Roman" w:cs="Times New Roman"/>
          <w:sz w:val="24"/>
          <w:szCs w:val="24"/>
        </w:rPr>
        <w:t xml:space="preserve">, M. E. (2016). </w:t>
      </w:r>
      <w:r w:rsidRPr="00AA572C">
        <w:rPr>
          <w:rFonts w:ascii="Times New Roman" w:eastAsia="Times New Roman" w:hAnsi="Times New Roman" w:cs="Times New Roman"/>
          <w:sz w:val="24"/>
          <w:szCs w:val="24"/>
          <w:lang w:val="en-US"/>
        </w:rPr>
        <w:t xml:space="preserve">A Century of Grading Research. </w:t>
      </w:r>
      <w:r w:rsidRPr="00AA572C">
        <w:rPr>
          <w:rFonts w:ascii="Times New Roman" w:eastAsia="Times New Roman" w:hAnsi="Times New Roman" w:cs="Times New Roman"/>
          <w:i/>
          <w:iCs/>
          <w:sz w:val="24"/>
          <w:szCs w:val="24"/>
          <w:lang w:val="en-US"/>
        </w:rPr>
        <w:t>Review of Educational Research</w:t>
      </w:r>
      <w:r w:rsidRPr="00AA572C">
        <w:rPr>
          <w:rFonts w:ascii="Times New Roman" w:eastAsia="Times New Roman" w:hAnsi="Times New Roman" w:cs="Times New Roman"/>
          <w:sz w:val="24"/>
          <w:szCs w:val="24"/>
          <w:lang w:val="en-US"/>
        </w:rPr>
        <w:t xml:space="preserve">, </w:t>
      </w:r>
      <w:r w:rsidRPr="00AA572C">
        <w:rPr>
          <w:rFonts w:ascii="Times New Roman" w:eastAsia="Times New Roman" w:hAnsi="Times New Roman" w:cs="Times New Roman"/>
          <w:i/>
          <w:iCs/>
          <w:sz w:val="24"/>
          <w:szCs w:val="24"/>
          <w:lang w:val="en-US"/>
        </w:rPr>
        <w:t>86</w:t>
      </w:r>
      <w:r w:rsidRPr="00AA572C">
        <w:rPr>
          <w:rFonts w:ascii="Times New Roman" w:eastAsia="Times New Roman" w:hAnsi="Times New Roman" w:cs="Times New Roman"/>
          <w:sz w:val="24"/>
          <w:szCs w:val="24"/>
          <w:lang w:val="en-US"/>
        </w:rPr>
        <w:t xml:space="preserve">(4), 803–848. </w:t>
      </w:r>
      <w:hyperlink r:id="rId8">
        <w:r w:rsidRPr="00AA572C">
          <w:rPr>
            <w:rFonts w:ascii="Times New Roman" w:eastAsia="Times New Roman" w:hAnsi="Times New Roman" w:cs="Times New Roman"/>
            <w:color w:val="0563C1" w:themeColor="hyperlink"/>
            <w:sz w:val="24"/>
            <w:szCs w:val="24"/>
            <w:u w:val="single"/>
            <w:lang w:val="en-US"/>
          </w:rPr>
          <w:t>https://doi.org/10.3102/0034654316672069</w:t>
        </w:r>
      </w:hyperlink>
    </w:p>
    <w:p w14:paraId="2FEEEC7D" w14:textId="77777777" w:rsidR="00AA572C" w:rsidRPr="00AA572C" w:rsidRDefault="00AA572C" w:rsidP="00AA572C">
      <w:pPr>
        <w:spacing w:after="40" w:line="360" w:lineRule="auto"/>
        <w:ind w:left="480" w:hanging="480"/>
        <w:rPr>
          <w:rFonts w:ascii="Times New Roman" w:eastAsia="Times New Roman" w:hAnsi="Times New Roman" w:cs="Times New Roman"/>
          <w:sz w:val="24"/>
          <w:szCs w:val="24"/>
        </w:rPr>
      </w:pPr>
      <w:proofErr w:type="spellStart"/>
      <w:r w:rsidRPr="00AA572C">
        <w:rPr>
          <w:rFonts w:ascii="Times New Roman" w:eastAsia="Times New Roman" w:hAnsi="Times New Roman" w:cs="Times New Roman"/>
          <w:sz w:val="24"/>
          <w:szCs w:val="24"/>
        </w:rPr>
        <w:t>Björklund</w:t>
      </w:r>
      <w:proofErr w:type="spellEnd"/>
      <w:r w:rsidRPr="00AA572C">
        <w:rPr>
          <w:rFonts w:ascii="Times New Roman" w:eastAsia="Times New Roman" w:hAnsi="Times New Roman" w:cs="Times New Roman"/>
          <w:sz w:val="24"/>
          <w:szCs w:val="24"/>
        </w:rPr>
        <w:t xml:space="preserve">, A., Fredriksson, P., Gustafsson, J.-E., &amp; </w:t>
      </w:r>
      <w:proofErr w:type="spellStart"/>
      <w:r w:rsidRPr="00AA572C">
        <w:rPr>
          <w:rFonts w:ascii="Times New Roman" w:eastAsia="Times New Roman" w:hAnsi="Times New Roman" w:cs="Times New Roman"/>
          <w:sz w:val="24"/>
          <w:szCs w:val="24"/>
        </w:rPr>
        <w:t>Öckert</w:t>
      </w:r>
      <w:proofErr w:type="spellEnd"/>
      <w:r w:rsidRPr="00AA572C">
        <w:rPr>
          <w:rFonts w:ascii="Times New Roman" w:eastAsia="Times New Roman" w:hAnsi="Times New Roman" w:cs="Times New Roman"/>
          <w:sz w:val="24"/>
          <w:szCs w:val="24"/>
        </w:rPr>
        <w:t xml:space="preserve">, B. (2010). </w:t>
      </w:r>
      <w:r w:rsidRPr="00AA572C">
        <w:rPr>
          <w:rFonts w:ascii="Times New Roman" w:eastAsia="Times New Roman" w:hAnsi="Times New Roman" w:cs="Times New Roman"/>
          <w:i/>
          <w:iCs/>
          <w:sz w:val="24"/>
          <w:szCs w:val="24"/>
        </w:rPr>
        <w:t xml:space="preserve">Den </w:t>
      </w:r>
      <w:proofErr w:type="spellStart"/>
      <w:r w:rsidRPr="00AA572C">
        <w:rPr>
          <w:rFonts w:ascii="Times New Roman" w:eastAsia="Times New Roman" w:hAnsi="Times New Roman" w:cs="Times New Roman"/>
          <w:i/>
          <w:iCs/>
          <w:sz w:val="24"/>
          <w:szCs w:val="24"/>
        </w:rPr>
        <w:t>svenska</w:t>
      </w:r>
      <w:proofErr w:type="spellEnd"/>
      <w:r w:rsidRPr="00AA572C">
        <w:rPr>
          <w:rFonts w:ascii="Times New Roman" w:eastAsia="Times New Roman" w:hAnsi="Times New Roman" w:cs="Times New Roman"/>
          <w:i/>
          <w:iCs/>
          <w:sz w:val="24"/>
          <w:szCs w:val="24"/>
        </w:rPr>
        <w:t xml:space="preserve"> </w:t>
      </w:r>
      <w:proofErr w:type="spellStart"/>
      <w:r w:rsidRPr="00AA572C">
        <w:rPr>
          <w:rFonts w:ascii="Times New Roman" w:eastAsia="Times New Roman" w:hAnsi="Times New Roman" w:cs="Times New Roman"/>
          <w:i/>
          <w:iCs/>
          <w:sz w:val="24"/>
          <w:szCs w:val="24"/>
        </w:rPr>
        <w:t>utbildningspolitikens</w:t>
      </w:r>
      <w:proofErr w:type="spellEnd"/>
      <w:r w:rsidRPr="00AA572C">
        <w:rPr>
          <w:rFonts w:ascii="Times New Roman" w:eastAsia="Times New Roman" w:hAnsi="Times New Roman" w:cs="Times New Roman"/>
          <w:i/>
          <w:iCs/>
          <w:sz w:val="24"/>
          <w:szCs w:val="24"/>
        </w:rPr>
        <w:t xml:space="preserve"> </w:t>
      </w:r>
      <w:proofErr w:type="spellStart"/>
      <w:r w:rsidRPr="00AA572C">
        <w:rPr>
          <w:rFonts w:ascii="Times New Roman" w:eastAsia="Times New Roman" w:hAnsi="Times New Roman" w:cs="Times New Roman"/>
          <w:i/>
          <w:iCs/>
          <w:sz w:val="24"/>
          <w:szCs w:val="24"/>
        </w:rPr>
        <w:t>arbetsmarknadseffekter</w:t>
      </w:r>
      <w:proofErr w:type="spellEnd"/>
      <w:r w:rsidRPr="00AA572C">
        <w:rPr>
          <w:rFonts w:ascii="Times New Roman" w:eastAsia="Times New Roman" w:hAnsi="Times New Roman" w:cs="Times New Roman"/>
          <w:i/>
          <w:iCs/>
          <w:sz w:val="24"/>
          <w:szCs w:val="24"/>
        </w:rPr>
        <w:t xml:space="preserve">: vad </w:t>
      </w:r>
      <w:proofErr w:type="spellStart"/>
      <w:r w:rsidRPr="00AA572C">
        <w:rPr>
          <w:rFonts w:ascii="Times New Roman" w:eastAsia="Times New Roman" w:hAnsi="Times New Roman" w:cs="Times New Roman"/>
          <w:i/>
          <w:iCs/>
          <w:sz w:val="24"/>
          <w:szCs w:val="24"/>
        </w:rPr>
        <w:t>säger</w:t>
      </w:r>
      <w:proofErr w:type="spellEnd"/>
      <w:r w:rsidRPr="00AA572C">
        <w:rPr>
          <w:rFonts w:ascii="Times New Roman" w:eastAsia="Times New Roman" w:hAnsi="Times New Roman" w:cs="Times New Roman"/>
          <w:i/>
          <w:iCs/>
          <w:sz w:val="24"/>
          <w:szCs w:val="24"/>
        </w:rPr>
        <w:t xml:space="preserve"> forskningen? Rapport 2010:13</w:t>
      </w:r>
      <w:r w:rsidRPr="00AA572C">
        <w:rPr>
          <w:rFonts w:ascii="Times New Roman" w:eastAsia="Times New Roman" w:hAnsi="Times New Roman" w:cs="Times New Roman"/>
          <w:sz w:val="24"/>
          <w:szCs w:val="24"/>
        </w:rPr>
        <w:t xml:space="preserve">. </w:t>
      </w:r>
      <w:proofErr w:type="spellStart"/>
      <w:r w:rsidRPr="00AA572C">
        <w:rPr>
          <w:rFonts w:ascii="Times New Roman" w:eastAsia="Times New Roman" w:hAnsi="Times New Roman" w:cs="Times New Roman"/>
          <w:sz w:val="24"/>
          <w:szCs w:val="24"/>
        </w:rPr>
        <w:t>Institutet</w:t>
      </w:r>
      <w:proofErr w:type="spellEnd"/>
      <w:r w:rsidRPr="00AA572C">
        <w:rPr>
          <w:rFonts w:ascii="Times New Roman" w:eastAsia="Times New Roman" w:hAnsi="Times New Roman" w:cs="Times New Roman"/>
          <w:sz w:val="24"/>
          <w:szCs w:val="24"/>
        </w:rPr>
        <w:t xml:space="preserve"> </w:t>
      </w:r>
      <w:proofErr w:type="spellStart"/>
      <w:r w:rsidRPr="00AA572C">
        <w:rPr>
          <w:rFonts w:ascii="Times New Roman" w:eastAsia="Times New Roman" w:hAnsi="Times New Roman" w:cs="Times New Roman"/>
          <w:sz w:val="24"/>
          <w:szCs w:val="24"/>
        </w:rPr>
        <w:t>för</w:t>
      </w:r>
      <w:proofErr w:type="spellEnd"/>
      <w:r w:rsidRPr="00AA572C">
        <w:rPr>
          <w:rFonts w:ascii="Times New Roman" w:eastAsia="Times New Roman" w:hAnsi="Times New Roman" w:cs="Times New Roman"/>
          <w:sz w:val="24"/>
          <w:szCs w:val="24"/>
        </w:rPr>
        <w:t xml:space="preserve"> </w:t>
      </w:r>
      <w:proofErr w:type="spellStart"/>
      <w:r w:rsidRPr="00AA572C">
        <w:rPr>
          <w:rFonts w:ascii="Times New Roman" w:eastAsia="Times New Roman" w:hAnsi="Times New Roman" w:cs="Times New Roman"/>
          <w:sz w:val="24"/>
          <w:szCs w:val="24"/>
        </w:rPr>
        <w:t>arbetsmarknadspolitisk</w:t>
      </w:r>
      <w:proofErr w:type="spellEnd"/>
      <w:r w:rsidRPr="00AA572C">
        <w:rPr>
          <w:rFonts w:ascii="Times New Roman" w:eastAsia="Times New Roman" w:hAnsi="Times New Roman" w:cs="Times New Roman"/>
          <w:sz w:val="24"/>
          <w:szCs w:val="24"/>
        </w:rPr>
        <w:t xml:space="preserve"> </w:t>
      </w:r>
      <w:proofErr w:type="spellStart"/>
      <w:r w:rsidRPr="00AA572C">
        <w:rPr>
          <w:rFonts w:ascii="Times New Roman" w:eastAsia="Times New Roman" w:hAnsi="Times New Roman" w:cs="Times New Roman"/>
          <w:sz w:val="24"/>
          <w:szCs w:val="24"/>
        </w:rPr>
        <w:t>utvärdering</w:t>
      </w:r>
      <w:proofErr w:type="spellEnd"/>
      <w:r w:rsidRPr="00AA572C">
        <w:rPr>
          <w:rFonts w:ascii="Times New Roman" w:eastAsia="Times New Roman" w:hAnsi="Times New Roman" w:cs="Times New Roman"/>
          <w:sz w:val="24"/>
          <w:szCs w:val="24"/>
        </w:rPr>
        <w:t xml:space="preserve"> (IFAU). </w:t>
      </w:r>
      <w:hyperlink r:id="rId9">
        <w:r w:rsidRPr="00AA572C">
          <w:rPr>
            <w:rFonts w:ascii="Times New Roman" w:eastAsia="Times New Roman" w:hAnsi="Times New Roman" w:cs="Times New Roman"/>
            <w:color w:val="0563C1" w:themeColor="hyperlink"/>
            <w:sz w:val="24"/>
            <w:szCs w:val="24"/>
            <w:u w:val="single"/>
          </w:rPr>
          <w:t>https://www.ifau.se/globalassets/pdf/se/2010/r10-13-den-svenska-utbildningspolitikens-arbetsmarknadseffekter-vad-sager-forskningen.pdf</w:t>
        </w:r>
      </w:hyperlink>
    </w:p>
    <w:p w14:paraId="7BF34CC0" w14:textId="77777777" w:rsidR="00AA572C" w:rsidRPr="00AA572C" w:rsidRDefault="00AA572C" w:rsidP="00AA572C">
      <w:pPr>
        <w:spacing w:after="40" w:line="360" w:lineRule="auto"/>
        <w:ind w:left="480" w:hanging="480"/>
        <w:rPr>
          <w:rFonts w:ascii="Times New Roman" w:eastAsia="Times New Roman" w:hAnsi="Times New Roman" w:cs="Times New Roman"/>
          <w:sz w:val="24"/>
          <w:szCs w:val="24"/>
        </w:rPr>
      </w:pPr>
      <w:proofErr w:type="spellStart"/>
      <w:r w:rsidRPr="00AA572C">
        <w:rPr>
          <w:rFonts w:ascii="Times New Roman" w:eastAsia="Times New Roman" w:hAnsi="Times New Roman" w:cs="Times New Roman"/>
          <w:sz w:val="24"/>
          <w:szCs w:val="24"/>
        </w:rPr>
        <w:t>Björnsson</w:t>
      </w:r>
      <w:proofErr w:type="spellEnd"/>
      <w:r w:rsidRPr="00AA572C">
        <w:rPr>
          <w:rFonts w:ascii="Times New Roman" w:eastAsia="Times New Roman" w:hAnsi="Times New Roman" w:cs="Times New Roman"/>
          <w:sz w:val="24"/>
          <w:szCs w:val="24"/>
        </w:rPr>
        <w:t xml:space="preserve">, J. K., &amp; Skar, G. B. (2021). </w:t>
      </w:r>
      <w:proofErr w:type="spellStart"/>
      <w:r w:rsidRPr="00AA572C">
        <w:rPr>
          <w:rFonts w:ascii="Times New Roman" w:eastAsia="Times New Roman" w:hAnsi="Times New Roman" w:cs="Times New Roman"/>
          <w:i/>
          <w:iCs/>
          <w:sz w:val="24"/>
          <w:szCs w:val="24"/>
        </w:rPr>
        <w:t>Sensorreliabilitetpå</w:t>
      </w:r>
      <w:proofErr w:type="spellEnd"/>
      <w:r w:rsidRPr="00AA572C">
        <w:rPr>
          <w:rFonts w:ascii="Times New Roman" w:eastAsia="Times New Roman" w:hAnsi="Times New Roman" w:cs="Times New Roman"/>
          <w:i/>
          <w:iCs/>
          <w:sz w:val="24"/>
          <w:szCs w:val="24"/>
        </w:rPr>
        <w:t xml:space="preserve"> skriftlig eksamen i videregående opplæring</w:t>
      </w:r>
      <w:r w:rsidRPr="00AA572C">
        <w:rPr>
          <w:rFonts w:ascii="Times New Roman" w:eastAsia="Times New Roman" w:hAnsi="Times New Roman" w:cs="Times New Roman"/>
          <w:sz w:val="24"/>
          <w:szCs w:val="24"/>
        </w:rPr>
        <w:t xml:space="preserve">. </w:t>
      </w:r>
      <w:hyperlink r:id="rId10">
        <w:r w:rsidRPr="00AA572C">
          <w:rPr>
            <w:rFonts w:ascii="Times New Roman" w:eastAsia="Times New Roman" w:hAnsi="Times New Roman" w:cs="Times New Roman"/>
            <w:color w:val="0563C1" w:themeColor="hyperlink"/>
            <w:sz w:val="24"/>
            <w:szCs w:val="24"/>
            <w:u w:val="single"/>
          </w:rPr>
          <w:t>https://folk.ntnu.no/gustafsk/Bjornsson-Skar-2021-Sensorreliabilitet-pa-skriftlig-eksamen-i-vgo.pdf</w:t>
        </w:r>
      </w:hyperlink>
    </w:p>
    <w:p w14:paraId="3FD45DAF" w14:textId="77777777" w:rsidR="00AA572C" w:rsidRPr="00AA572C" w:rsidRDefault="00AA572C" w:rsidP="00AA572C">
      <w:pPr>
        <w:spacing w:after="40" w:line="360" w:lineRule="auto"/>
        <w:ind w:left="480" w:hanging="480"/>
        <w:rPr>
          <w:rFonts w:ascii="Times New Roman" w:eastAsia="Times New Roman" w:hAnsi="Times New Roman" w:cs="Times New Roman"/>
          <w:sz w:val="24"/>
          <w:szCs w:val="24"/>
        </w:rPr>
      </w:pPr>
    </w:p>
    <w:p w14:paraId="3583E162" w14:textId="511AC6D5" w:rsidR="00BA72E9" w:rsidRPr="00BA72E9" w:rsidRDefault="00BA72E9" w:rsidP="00AA572C">
      <w:pPr>
        <w:rPr>
          <w:rFonts w:ascii="Open Sans" w:hAnsi="Open Sans" w:cs="Open Sans"/>
        </w:rPr>
      </w:pPr>
    </w:p>
    <w:p w14:paraId="490F2664" w14:textId="77777777" w:rsidR="00BA72E9" w:rsidRPr="00BA72E9" w:rsidRDefault="00BA72E9">
      <w:pPr>
        <w:rPr>
          <w:rFonts w:ascii="Open Sans" w:hAnsi="Open Sans" w:cs="Open Sans"/>
        </w:rPr>
      </w:pPr>
    </w:p>
    <w:sectPr w:rsidR="00BA72E9" w:rsidRPr="00BA72E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66174" w14:textId="77777777" w:rsidR="00BA6DE7" w:rsidRDefault="00BA6DE7" w:rsidP="00E777DA">
      <w:pPr>
        <w:spacing w:after="0" w:line="240" w:lineRule="auto"/>
      </w:pPr>
      <w:r>
        <w:separator/>
      </w:r>
    </w:p>
  </w:endnote>
  <w:endnote w:type="continuationSeparator" w:id="0">
    <w:p w14:paraId="370ACCCE" w14:textId="77777777" w:rsidR="00BA6DE7" w:rsidRDefault="00BA6DE7" w:rsidP="00E77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772403"/>
      <w:docPartObj>
        <w:docPartGallery w:val="Page Numbers (Bottom of Page)"/>
        <w:docPartUnique/>
      </w:docPartObj>
    </w:sdtPr>
    <w:sdtEndPr/>
    <w:sdtContent>
      <w:p w14:paraId="7DDC497B" w14:textId="567B06A3" w:rsidR="00AA572C" w:rsidRDefault="00AA572C">
        <w:pPr>
          <w:pStyle w:val="Bunntekst"/>
          <w:jc w:val="right"/>
        </w:pPr>
        <w:r>
          <w:fldChar w:fldCharType="begin"/>
        </w:r>
        <w:r>
          <w:instrText>PAGE   \* MERGEFORMAT</w:instrText>
        </w:r>
        <w:r>
          <w:fldChar w:fldCharType="separate"/>
        </w:r>
        <w:r>
          <w:t>2</w:t>
        </w:r>
        <w:r>
          <w:fldChar w:fldCharType="end"/>
        </w:r>
      </w:p>
    </w:sdtContent>
  </w:sdt>
  <w:p w14:paraId="222A707B" w14:textId="77777777" w:rsidR="00AA572C" w:rsidRDefault="00AA572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0E7C" w14:textId="77777777" w:rsidR="00BA6DE7" w:rsidRDefault="00BA6DE7" w:rsidP="00E777DA">
      <w:pPr>
        <w:spacing w:after="0" w:line="240" w:lineRule="auto"/>
      </w:pPr>
      <w:r>
        <w:separator/>
      </w:r>
    </w:p>
  </w:footnote>
  <w:footnote w:type="continuationSeparator" w:id="0">
    <w:p w14:paraId="52F1254B" w14:textId="77777777" w:rsidR="00BA6DE7" w:rsidRDefault="00BA6DE7" w:rsidP="00E777DA">
      <w:pPr>
        <w:spacing w:after="0" w:line="240" w:lineRule="auto"/>
      </w:pPr>
      <w:r>
        <w:continuationSeparator/>
      </w:r>
    </w:p>
  </w:footnote>
  <w:footnote w:id="1">
    <w:p w14:paraId="62BB6788" w14:textId="5CC5FC20" w:rsidR="00103137" w:rsidRDefault="00103137">
      <w:pPr>
        <w:pStyle w:val="Fotnotetekst"/>
      </w:pPr>
      <w:r>
        <w:rPr>
          <w:rStyle w:val="Fotnotereferanse"/>
        </w:rPr>
        <w:footnoteRef/>
      </w:r>
      <w:r>
        <w:t xml:space="preserve"> OsloMet har ansvar for følgeforskning på Dekom</w:t>
      </w:r>
      <w:r w:rsidR="00CE34C9">
        <w:t>.</w:t>
      </w:r>
    </w:p>
  </w:footnote>
  <w:footnote w:id="2">
    <w:p w14:paraId="0B4AC56E" w14:textId="77777777" w:rsidR="00AA572C" w:rsidRPr="00DB5B37" w:rsidRDefault="00AA572C" w:rsidP="00AA572C">
      <w:pPr>
        <w:pStyle w:val="Fotnotetekst"/>
        <w:rPr>
          <w:rFonts w:ascii="Times New Roman" w:hAnsi="Times New Roman" w:cs="Times New Roman"/>
        </w:rPr>
      </w:pPr>
      <w:r w:rsidRPr="00DB5B37">
        <w:rPr>
          <w:rStyle w:val="Fotnotereferanse"/>
          <w:rFonts w:ascii="Times New Roman" w:hAnsi="Times New Roman" w:cs="Times New Roman"/>
        </w:rPr>
        <w:footnoteRef/>
      </w:r>
      <w:r w:rsidRPr="00DB5B37">
        <w:rPr>
          <w:rFonts w:ascii="Times New Roman" w:hAnsi="Times New Roman" w:cs="Times New Roman"/>
        </w:rPr>
        <w:t xml:space="preserve"> https://www.udir.no/tall-og-forskning/finn-forskning/rapporter/Kunnskapsgrunnlag-for-evaluering-av-eksamensordningen/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9F5"/>
    <w:multiLevelType w:val="hybridMultilevel"/>
    <w:tmpl w:val="1274592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CBB0BCB"/>
    <w:multiLevelType w:val="hybridMultilevel"/>
    <w:tmpl w:val="6B2854C4"/>
    <w:lvl w:ilvl="0" w:tplc="DFE4B2CA">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24A7382"/>
    <w:multiLevelType w:val="hybridMultilevel"/>
    <w:tmpl w:val="1402FDF6"/>
    <w:lvl w:ilvl="0" w:tplc="C3B2F6F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EA57DC1"/>
    <w:multiLevelType w:val="hybridMultilevel"/>
    <w:tmpl w:val="57C6B324"/>
    <w:lvl w:ilvl="0" w:tplc="C3B2F6F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C6D2DAF"/>
    <w:multiLevelType w:val="hybridMultilevel"/>
    <w:tmpl w:val="7736E7F2"/>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4F12BCC"/>
    <w:multiLevelType w:val="hybridMultilevel"/>
    <w:tmpl w:val="BA0CCEAC"/>
    <w:lvl w:ilvl="0" w:tplc="C3B2F6F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86529B2"/>
    <w:multiLevelType w:val="hybridMultilevel"/>
    <w:tmpl w:val="3586D300"/>
    <w:lvl w:ilvl="0" w:tplc="28CA5B8A">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E767CD3"/>
    <w:multiLevelType w:val="hybridMultilevel"/>
    <w:tmpl w:val="12267A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1E70407"/>
    <w:multiLevelType w:val="hybridMultilevel"/>
    <w:tmpl w:val="4EBC1422"/>
    <w:lvl w:ilvl="0" w:tplc="04140001">
      <w:start w:val="1"/>
      <w:numFmt w:val="bullet"/>
      <w:lvlText w:val=""/>
      <w:lvlJc w:val="left"/>
      <w:pPr>
        <w:ind w:left="720" w:hanging="360"/>
      </w:pPr>
      <w:rPr>
        <w:rFonts w:ascii="Symbol" w:hAnsi="Symbol" w:hint="default"/>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99057508">
    <w:abstractNumId w:val="1"/>
  </w:num>
  <w:num w:numId="2" w16cid:durableId="317267717">
    <w:abstractNumId w:val="8"/>
  </w:num>
  <w:num w:numId="3" w16cid:durableId="1806778655">
    <w:abstractNumId w:val="7"/>
  </w:num>
  <w:num w:numId="4" w16cid:durableId="1726177572">
    <w:abstractNumId w:val="5"/>
  </w:num>
  <w:num w:numId="5" w16cid:durableId="820539992">
    <w:abstractNumId w:val="2"/>
  </w:num>
  <w:num w:numId="6" w16cid:durableId="850802947">
    <w:abstractNumId w:val="3"/>
  </w:num>
  <w:num w:numId="7" w16cid:durableId="1998875703">
    <w:abstractNumId w:val="0"/>
  </w:num>
  <w:num w:numId="8" w16cid:durableId="911618053">
    <w:abstractNumId w:val="6"/>
  </w:num>
  <w:num w:numId="9" w16cid:durableId="5034786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05"/>
    <w:rsid w:val="000270E3"/>
    <w:rsid w:val="0004105D"/>
    <w:rsid w:val="0009403E"/>
    <w:rsid w:val="00097BAA"/>
    <w:rsid w:val="000C29E8"/>
    <w:rsid w:val="000C3B4C"/>
    <w:rsid w:val="000E438A"/>
    <w:rsid w:val="00103137"/>
    <w:rsid w:val="001115BA"/>
    <w:rsid w:val="0013097D"/>
    <w:rsid w:val="0015778C"/>
    <w:rsid w:val="001A246B"/>
    <w:rsid w:val="001B27C4"/>
    <w:rsid w:val="001E08F9"/>
    <w:rsid w:val="001F7EEE"/>
    <w:rsid w:val="00270C7A"/>
    <w:rsid w:val="002947D9"/>
    <w:rsid w:val="002D2F15"/>
    <w:rsid w:val="002E1E3A"/>
    <w:rsid w:val="003D3705"/>
    <w:rsid w:val="0041480B"/>
    <w:rsid w:val="00436F17"/>
    <w:rsid w:val="00490C9A"/>
    <w:rsid w:val="004D050D"/>
    <w:rsid w:val="005277DC"/>
    <w:rsid w:val="00557499"/>
    <w:rsid w:val="005D163A"/>
    <w:rsid w:val="006A439E"/>
    <w:rsid w:val="006A6CC4"/>
    <w:rsid w:val="006C1246"/>
    <w:rsid w:val="006C41F8"/>
    <w:rsid w:val="00705A77"/>
    <w:rsid w:val="00763F21"/>
    <w:rsid w:val="007A19B2"/>
    <w:rsid w:val="007D5211"/>
    <w:rsid w:val="00805E18"/>
    <w:rsid w:val="008351F8"/>
    <w:rsid w:val="008602B1"/>
    <w:rsid w:val="00917F00"/>
    <w:rsid w:val="009207D3"/>
    <w:rsid w:val="009407CB"/>
    <w:rsid w:val="009D6B24"/>
    <w:rsid w:val="00A04403"/>
    <w:rsid w:val="00A065DE"/>
    <w:rsid w:val="00A50AEC"/>
    <w:rsid w:val="00A50CD0"/>
    <w:rsid w:val="00A71BA3"/>
    <w:rsid w:val="00AA572C"/>
    <w:rsid w:val="00AE3250"/>
    <w:rsid w:val="00B52207"/>
    <w:rsid w:val="00BA6DE7"/>
    <w:rsid w:val="00BA72E9"/>
    <w:rsid w:val="00BD04BB"/>
    <w:rsid w:val="00CC245C"/>
    <w:rsid w:val="00CE34C9"/>
    <w:rsid w:val="00D261B6"/>
    <w:rsid w:val="00D30F25"/>
    <w:rsid w:val="00D64E6F"/>
    <w:rsid w:val="00DD66AB"/>
    <w:rsid w:val="00E2568A"/>
    <w:rsid w:val="00E36510"/>
    <w:rsid w:val="00E777DA"/>
    <w:rsid w:val="00EC31CD"/>
    <w:rsid w:val="00ED6AC8"/>
    <w:rsid w:val="00F769EC"/>
    <w:rsid w:val="00FC73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A1EF5C"/>
  <w15:chartTrackingRefBased/>
  <w15:docId w15:val="{9A947152-4D2E-4DE2-A8DF-26282131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1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3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D3705"/>
    <w:pPr>
      <w:ind w:left="720"/>
      <w:contextualSpacing/>
    </w:pPr>
  </w:style>
  <w:style w:type="paragraph" w:styleId="Sterktsitat">
    <w:name w:val="Intense Quote"/>
    <w:basedOn w:val="Normal"/>
    <w:next w:val="Normal"/>
    <w:link w:val="SterktsitatTegn"/>
    <w:uiPriority w:val="30"/>
    <w:qFormat/>
    <w:rsid w:val="001B27C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rsid w:val="001B27C4"/>
    <w:rPr>
      <w:i/>
      <w:iCs/>
      <w:color w:val="4472C4" w:themeColor="accent1"/>
    </w:rPr>
  </w:style>
  <w:style w:type="paragraph" w:styleId="Fotnotetekst">
    <w:name w:val="footnote text"/>
    <w:basedOn w:val="Normal"/>
    <w:link w:val="FotnotetekstTegn"/>
    <w:uiPriority w:val="99"/>
    <w:semiHidden/>
    <w:unhideWhenUsed/>
    <w:rsid w:val="00E777D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777DA"/>
    <w:rPr>
      <w:sz w:val="20"/>
      <w:szCs w:val="20"/>
    </w:rPr>
  </w:style>
  <w:style w:type="character" w:styleId="Fotnotereferanse">
    <w:name w:val="footnote reference"/>
    <w:basedOn w:val="Standardskriftforavsnitt"/>
    <w:uiPriority w:val="99"/>
    <w:semiHidden/>
    <w:unhideWhenUsed/>
    <w:rsid w:val="00E777DA"/>
    <w:rPr>
      <w:vertAlign w:val="superscript"/>
    </w:rPr>
  </w:style>
  <w:style w:type="character" w:styleId="Hyperkobling">
    <w:name w:val="Hyperlink"/>
    <w:basedOn w:val="Standardskriftforavsnitt"/>
    <w:uiPriority w:val="99"/>
    <w:unhideWhenUsed/>
    <w:rsid w:val="00E777DA"/>
    <w:rPr>
      <w:color w:val="0563C1" w:themeColor="hyperlink"/>
      <w:u w:val="single"/>
    </w:rPr>
  </w:style>
  <w:style w:type="character" w:styleId="Ulstomtale">
    <w:name w:val="Unresolved Mention"/>
    <w:basedOn w:val="Standardskriftforavsnitt"/>
    <w:uiPriority w:val="99"/>
    <w:semiHidden/>
    <w:unhideWhenUsed/>
    <w:rsid w:val="00E777DA"/>
    <w:rPr>
      <w:color w:val="605E5C"/>
      <w:shd w:val="clear" w:color="auto" w:fill="E1DFDD"/>
    </w:rPr>
  </w:style>
  <w:style w:type="paragraph" w:styleId="Topptekst">
    <w:name w:val="header"/>
    <w:basedOn w:val="Normal"/>
    <w:link w:val="TopptekstTegn"/>
    <w:uiPriority w:val="99"/>
    <w:unhideWhenUsed/>
    <w:rsid w:val="002947D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947D9"/>
  </w:style>
  <w:style w:type="paragraph" w:styleId="Bunntekst">
    <w:name w:val="footer"/>
    <w:basedOn w:val="Normal"/>
    <w:link w:val="BunntekstTegn"/>
    <w:uiPriority w:val="99"/>
    <w:unhideWhenUsed/>
    <w:rsid w:val="002947D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947D9"/>
  </w:style>
  <w:style w:type="character" w:styleId="Merknadsreferanse">
    <w:name w:val="annotation reference"/>
    <w:basedOn w:val="Standardskriftforavsnitt"/>
    <w:uiPriority w:val="99"/>
    <w:semiHidden/>
    <w:unhideWhenUsed/>
    <w:rsid w:val="000C29E8"/>
    <w:rPr>
      <w:sz w:val="16"/>
      <w:szCs w:val="16"/>
    </w:rPr>
  </w:style>
  <w:style w:type="paragraph" w:styleId="Merknadstekst">
    <w:name w:val="annotation text"/>
    <w:basedOn w:val="Normal"/>
    <w:link w:val="MerknadstekstTegn"/>
    <w:uiPriority w:val="99"/>
    <w:semiHidden/>
    <w:unhideWhenUsed/>
    <w:rsid w:val="000C29E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C29E8"/>
    <w:rPr>
      <w:sz w:val="20"/>
      <w:szCs w:val="20"/>
    </w:rPr>
  </w:style>
  <w:style w:type="paragraph" w:styleId="Kommentaremne">
    <w:name w:val="annotation subject"/>
    <w:basedOn w:val="Merknadstekst"/>
    <w:next w:val="Merknadstekst"/>
    <w:link w:val="KommentaremneTegn"/>
    <w:uiPriority w:val="99"/>
    <w:semiHidden/>
    <w:unhideWhenUsed/>
    <w:rsid w:val="000C29E8"/>
    <w:rPr>
      <w:b/>
      <w:bCs/>
    </w:rPr>
  </w:style>
  <w:style w:type="character" w:customStyle="1" w:styleId="KommentaremneTegn">
    <w:name w:val="Kommentaremne Tegn"/>
    <w:basedOn w:val="MerknadstekstTegn"/>
    <w:link w:val="Kommentaremne"/>
    <w:uiPriority w:val="99"/>
    <w:semiHidden/>
    <w:rsid w:val="000C29E8"/>
    <w:rPr>
      <w:b/>
      <w:bCs/>
      <w:sz w:val="20"/>
      <w:szCs w:val="20"/>
    </w:rPr>
  </w:style>
  <w:style w:type="paragraph" w:styleId="Revisjon">
    <w:name w:val="Revision"/>
    <w:hidden/>
    <w:uiPriority w:val="99"/>
    <w:semiHidden/>
    <w:rsid w:val="00BD04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059347">
      <w:bodyDiv w:val="1"/>
      <w:marLeft w:val="0"/>
      <w:marRight w:val="0"/>
      <w:marTop w:val="0"/>
      <w:marBottom w:val="0"/>
      <w:divBdr>
        <w:top w:val="none" w:sz="0" w:space="0" w:color="auto"/>
        <w:left w:val="none" w:sz="0" w:space="0" w:color="auto"/>
        <w:bottom w:val="none" w:sz="0" w:space="0" w:color="auto"/>
        <w:right w:val="none" w:sz="0" w:space="0" w:color="auto"/>
      </w:divBdr>
    </w:div>
    <w:div w:id="21329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2/00346543166720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olk.ntnu.no/gustafsk/Bjornsson-Skar-2021-Sensorreliabilitet-pa-skriftlig-eksamen-i-vgo.pdf" TargetMode="External"/><Relationship Id="rId4" Type="http://schemas.openxmlformats.org/officeDocument/2006/relationships/settings" Target="settings.xml"/><Relationship Id="rId9" Type="http://schemas.openxmlformats.org/officeDocument/2006/relationships/hyperlink" Target="https://www.ifau.se/globalassets/pdf/se/2010/r10-13-den-svenska-utbildningspolitikens-arbetsmarknadseffekter-vad-sager-forskningen.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D8246-184C-4EE8-8363-7EE51DA6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2012</Words>
  <Characters>10668</Characters>
  <Application>Microsoft Office Word</Application>
  <DocSecurity>0</DocSecurity>
  <Lines>88</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Lyng, Ragnhild Sperstad</dc:creator>
  <cp:keywords/>
  <dc:description/>
  <cp:lastModifiedBy>Lyng, Ragnhild Sperstad</cp:lastModifiedBy>
  <cp:revision>2</cp:revision>
  <dcterms:created xsi:type="dcterms:W3CDTF">2023-01-10T08:40:00Z</dcterms:created>
  <dcterms:modified xsi:type="dcterms:W3CDTF">2023-01-10T08:40:00Z</dcterms:modified>
</cp:coreProperties>
</file>