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media/image4.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820"/>
        <w:gridCol w:w="20"/>
        <w:gridCol w:w="2149"/>
        <w:gridCol w:w="6"/>
        <w:gridCol w:w="227"/>
        <w:gridCol w:w="2129"/>
      </w:tblGrid>
      <w:tr w14:paraId="3AB7CD79" w14:textId="77777777" w:rsidTr="00C438BB">
        <w:tblPrEx>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4820" w:type="dxa"/>
          </w:tcPr>
          <w:p w:rsidR="002D021B" w:rsidRPr="00E12143" w:rsidP="00A81FDC" w14:paraId="0662C13A" w14:textId="77777777">
            <w:r w:rsidRPr="00E12143">
              <w:rPr>
                <w:noProof/>
                <w:lang w:eastAsia="nb-NO"/>
              </w:rPr>
              <w:drawing>
                <wp:anchor distT="0" distB="0" distL="114300" distR="114300" simplePos="0" relativeHeight="251658240" behindDoc="0" locked="1" layoutInCell="1" allowOverlap="0">
                  <wp:simplePos x="0" y="0"/>
                  <wp:positionH relativeFrom="column">
                    <wp:posOffset>-774065</wp:posOffset>
                  </wp:positionH>
                  <wp:positionV relativeFrom="page">
                    <wp:posOffset>-439420</wp:posOffset>
                  </wp:positionV>
                  <wp:extent cx="3682800" cy="1116000"/>
                  <wp:effectExtent l="0" t="0" r="0" b="0"/>
                  <wp:wrapNone/>
                  <wp:docPr id="6" name="Grafik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M_primaerlogo_vestfold_telemark_pos.sv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3682800" cy="1116000"/>
                          </a:xfrm>
                          <a:prstGeom prst="rect">
                            <a:avLst/>
                          </a:prstGeom>
                        </pic:spPr>
                      </pic:pic>
                    </a:graphicData>
                  </a:graphic>
                  <wp14:sizeRelH relativeFrom="page">
                    <wp14:pctWidth>0</wp14:pctWidth>
                  </wp14:sizeRelH>
                  <wp14:sizeRelV relativeFrom="page">
                    <wp14:pctHeight>0</wp14:pctHeight>
                  </wp14:sizeRelV>
                </wp:anchor>
              </w:drawing>
            </w:r>
          </w:p>
        </w:tc>
        <w:tc>
          <w:tcPr>
            <w:tcW w:w="2175" w:type="dxa"/>
            <w:gridSpan w:val="3"/>
          </w:tcPr>
          <w:p w:rsidR="002D021B" w:rsidRPr="00E12143" w:rsidP="00A81FDC" w14:paraId="159B854C" w14:textId="77777777">
            <w:pPr>
              <w:rPr>
                <w:sz w:val="14"/>
                <w:szCs w:val="14"/>
              </w:rPr>
            </w:pPr>
          </w:p>
        </w:tc>
        <w:tc>
          <w:tcPr>
            <w:tcW w:w="227" w:type="dxa"/>
          </w:tcPr>
          <w:p w:rsidR="002D021B" w:rsidRPr="00E12143" w:rsidP="00A81FDC" w14:paraId="0A556312" w14:textId="77777777">
            <w:pPr>
              <w:rPr>
                <w:sz w:val="14"/>
                <w:szCs w:val="14"/>
              </w:rPr>
            </w:pPr>
          </w:p>
        </w:tc>
        <w:tc>
          <w:tcPr>
            <w:tcW w:w="2129" w:type="dxa"/>
          </w:tcPr>
          <w:p w:rsidR="002D021B" w:rsidRPr="00E12143" w:rsidP="00A81FDC" w14:paraId="08C64E55" w14:textId="70B1ED77">
            <w:pPr>
              <w:rPr>
                <w:rFonts w:ascii="Open Sans SemiBold" w:hAnsi="Open Sans SemiBold" w:cs="Open Sans SemiBold"/>
                <w:sz w:val="26"/>
                <w:szCs w:val="26"/>
              </w:rPr>
            </w:pPr>
            <w:r>
              <w:rPr>
                <w:rFonts w:ascii="Open Sans SemiBold" w:hAnsi="Open Sans SemiBold" w:cs="Open Sans SemiBold"/>
                <w:sz w:val="26"/>
                <w:szCs w:val="26"/>
              </w:rPr>
              <w:t xml:space="preserve">Vedlegg </w:t>
            </w:r>
            <w:r w:rsidR="002C6D6F">
              <w:rPr>
                <w:rFonts w:ascii="Open Sans SemiBold" w:hAnsi="Open Sans SemiBold" w:cs="Open Sans SemiBold"/>
                <w:sz w:val="26"/>
                <w:szCs w:val="26"/>
              </w:rPr>
              <w:t>3</w:t>
            </w:r>
          </w:p>
        </w:tc>
      </w:tr>
      <w:tr w14:paraId="79F63F5C" w14:textId="77777777" w:rsidTr="00A10D77">
        <w:tblPrEx>
          <w:tblW w:w="9351" w:type="dxa"/>
          <w:tblCellMar>
            <w:left w:w="0" w:type="dxa"/>
            <w:right w:w="0" w:type="dxa"/>
          </w:tblCellMar>
          <w:tblLook w:val="04A0"/>
        </w:tblPrEx>
        <w:tc>
          <w:tcPr>
            <w:tcW w:w="4820" w:type="dxa"/>
          </w:tcPr>
          <w:p w:rsidR="002D021B" w:rsidRPr="00E12143" w:rsidP="00A81FDC" w14:paraId="38527672" w14:textId="77777777"/>
        </w:tc>
        <w:tc>
          <w:tcPr>
            <w:tcW w:w="2175" w:type="dxa"/>
            <w:gridSpan w:val="3"/>
          </w:tcPr>
          <w:p w:rsidR="002D021B" w:rsidRPr="00E12143" w:rsidP="00A81FDC" w14:paraId="4E96C4EF" w14:textId="77777777"/>
        </w:tc>
        <w:tc>
          <w:tcPr>
            <w:tcW w:w="227" w:type="dxa"/>
          </w:tcPr>
          <w:p w:rsidR="002D021B" w:rsidRPr="00E12143" w:rsidP="00A81FDC" w14:paraId="090DF6A5" w14:textId="77777777"/>
        </w:tc>
        <w:tc>
          <w:tcPr>
            <w:tcW w:w="2129" w:type="dxa"/>
          </w:tcPr>
          <w:p w:rsidR="002D021B" w:rsidRPr="00E12143" w:rsidP="00A81FDC" w14:paraId="77BBC80B" w14:textId="77777777"/>
        </w:tc>
      </w:tr>
      <w:tr w14:paraId="3A988014" w14:textId="77777777" w:rsidTr="00345091">
        <w:tblPrEx>
          <w:tblW w:w="9351" w:type="dxa"/>
          <w:tblCellMar>
            <w:left w:w="0" w:type="dxa"/>
            <w:right w:w="0" w:type="dxa"/>
          </w:tblCellMar>
          <w:tblLook w:val="04A0"/>
        </w:tblPrEx>
        <w:tc>
          <w:tcPr>
            <w:tcW w:w="4820" w:type="dxa"/>
          </w:tcPr>
          <w:p w:rsidR="002D021B" w:rsidRPr="00E12143" w:rsidP="00A81FDC" w14:paraId="76E9A5E1" w14:textId="77777777"/>
        </w:tc>
        <w:tc>
          <w:tcPr>
            <w:tcW w:w="2175" w:type="dxa"/>
            <w:gridSpan w:val="3"/>
          </w:tcPr>
          <w:p w:rsidR="002D021B" w:rsidRPr="00E12143" w:rsidP="00A81FDC" w14:paraId="7C8D9382" w14:textId="77777777">
            <w:pPr>
              <w:rPr>
                <w:sz w:val="14"/>
                <w:szCs w:val="14"/>
              </w:rPr>
            </w:pPr>
          </w:p>
        </w:tc>
        <w:tc>
          <w:tcPr>
            <w:tcW w:w="227" w:type="dxa"/>
          </w:tcPr>
          <w:p w:rsidR="002D021B" w:rsidRPr="00E12143" w:rsidP="00A81FDC" w14:paraId="5E60DC49" w14:textId="77777777">
            <w:pPr>
              <w:rPr>
                <w:sz w:val="14"/>
                <w:szCs w:val="14"/>
              </w:rPr>
            </w:pPr>
          </w:p>
        </w:tc>
        <w:tc>
          <w:tcPr>
            <w:tcW w:w="2129" w:type="dxa"/>
          </w:tcPr>
          <w:p w:rsidR="002D021B" w:rsidRPr="00E12143" w:rsidP="00A81FDC" w14:paraId="44EFB250" w14:textId="77777777">
            <w:pPr>
              <w:rPr>
                <w:sz w:val="14"/>
                <w:szCs w:val="14"/>
              </w:rPr>
            </w:pPr>
          </w:p>
        </w:tc>
      </w:tr>
      <w:tr w14:paraId="42D20EE4" w14:textId="77777777" w:rsidTr="00C61AD9">
        <w:tblPrEx>
          <w:tblW w:w="9351" w:type="dxa"/>
          <w:tblCellMar>
            <w:left w:w="0" w:type="dxa"/>
            <w:right w:w="0" w:type="dxa"/>
          </w:tblCellMar>
          <w:tblLook w:val="04A0"/>
        </w:tblPrEx>
        <w:tc>
          <w:tcPr>
            <w:tcW w:w="4820" w:type="dxa"/>
          </w:tcPr>
          <w:p w:rsidR="002D021B" w:rsidRPr="00846ABF" w:rsidP="00A81FDC" w14:paraId="07765104" w14:textId="77777777">
            <w:pPr>
              <w:rPr>
                <w:sz w:val="14"/>
              </w:rPr>
            </w:pPr>
            <w:r w:rsidRPr="00846ABF">
              <w:rPr>
                <w:sz w:val="14"/>
              </w:rPr>
              <w:t xml:space="preserve">Sak: </w:t>
            </w:r>
          </w:p>
        </w:tc>
        <w:tc>
          <w:tcPr>
            <w:tcW w:w="2175" w:type="dxa"/>
            <w:gridSpan w:val="3"/>
          </w:tcPr>
          <w:p w:rsidR="002D021B" w:rsidRPr="00846ABF" w:rsidP="00A81FDC" w14:paraId="610EC072" w14:textId="77777777">
            <w:pPr>
              <w:rPr>
                <w:sz w:val="14"/>
                <w:szCs w:val="14"/>
              </w:rPr>
            </w:pPr>
            <w:r w:rsidRPr="00846ABF">
              <w:rPr>
                <w:sz w:val="14"/>
                <w:szCs w:val="14"/>
              </w:rPr>
              <w:t>Vår dato:</w:t>
            </w:r>
          </w:p>
        </w:tc>
        <w:tc>
          <w:tcPr>
            <w:tcW w:w="227" w:type="dxa"/>
          </w:tcPr>
          <w:p w:rsidR="002D021B" w:rsidRPr="00846ABF" w:rsidP="00A81FDC" w14:paraId="0DF9C5E3" w14:textId="77777777">
            <w:pPr>
              <w:rPr>
                <w:sz w:val="14"/>
                <w:szCs w:val="14"/>
              </w:rPr>
            </w:pPr>
          </w:p>
        </w:tc>
        <w:tc>
          <w:tcPr>
            <w:tcW w:w="2129" w:type="dxa"/>
          </w:tcPr>
          <w:p w:rsidR="002D021B" w:rsidRPr="00846ABF" w:rsidP="00A81FDC" w14:paraId="42293B3B" w14:textId="77777777">
            <w:pPr>
              <w:rPr>
                <w:sz w:val="14"/>
                <w:szCs w:val="14"/>
              </w:rPr>
            </w:pPr>
            <w:r w:rsidRPr="00846ABF">
              <w:rPr>
                <w:sz w:val="14"/>
                <w:szCs w:val="14"/>
              </w:rPr>
              <w:t>Vår ref.:</w:t>
            </w:r>
          </w:p>
        </w:tc>
      </w:tr>
      <w:tr w14:paraId="227E9B84" w14:textId="77777777" w:rsidTr="00C17978">
        <w:tblPrEx>
          <w:tblW w:w="9351" w:type="dxa"/>
          <w:tblCellMar>
            <w:left w:w="0" w:type="dxa"/>
            <w:right w:w="0" w:type="dxa"/>
          </w:tblCellMar>
          <w:tblLook w:val="04A0"/>
        </w:tblPrEx>
        <w:tc>
          <w:tcPr>
            <w:tcW w:w="4820" w:type="dxa"/>
            <w:vMerge w:val="restart"/>
          </w:tcPr>
          <w:p w:rsidR="00846ABF" w:rsidRPr="006D6DE6" w:rsidP="00A81FDC" w14:paraId="0F920D1C" w14:textId="77777777">
            <w:bookmarkStart w:id="0" w:name="Sakstittel"/>
            <w:r w:rsidRPr="006D6DE6">
              <w:t>Tilskudd til drenering av jordbruksjord 2024</w:t>
            </w:r>
            <w:bookmarkEnd w:id="0"/>
          </w:p>
        </w:tc>
        <w:tc>
          <w:tcPr>
            <w:tcW w:w="2175" w:type="dxa"/>
            <w:gridSpan w:val="3"/>
          </w:tcPr>
          <w:p w:rsidR="00846ABF" w:rsidRPr="006D6DE6" w:rsidP="00A81FDC" w14:paraId="710D9B33" w14:textId="77777777">
            <w:bookmarkStart w:id="1" w:name="Brevdato"/>
            <w:r w:rsidRPr="006D6DE6">
              <w:t>25.01.2024</w:t>
            </w:r>
            <w:bookmarkEnd w:id="1"/>
          </w:p>
        </w:tc>
        <w:tc>
          <w:tcPr>
            <w:tcW w:w="227" w:type="dxa"/>
          </w:tcPr>
          <w:p w:rsidR="00846ABF" w:rsidRPr="006D6DE6" w:rsidP="00A81FDC" w14:paraId="3207DDED" w14:textId="77777777"/>
        </w:tc>
        <w:tc>
          <w:tcPr>
            <w:tcW w:w="2129" w:type="dxa"/>
          </w:tcPr>
          <w:p w:rsidR="00846ABF" w:rsidRPr="006D6DE6" w:rsidP="00A81FDC" w14:paraId="72D9A43D" w14:textId="77777777">
            <w:bookmarkStart w:id="2" w:name="Saksnr"/>
            <w:r w:rsidRPr="006D6DE6">
              <w:t>2023/12549</w:t>
            </w:r>
            <w:bookmarkEnd w:id="2"/>
          </w:p>
        </w:tc>
      </w:tr>
      <w:tr w14:paraId="46D0B8C8" w14:textId="77777777" w:rsidTr="00955A55">
        <w:tblPrEx>
          <w:tblW w:w="9351" w:type="dxa"/>
          <w:tblCellMar>
            <w:left w:w="0" w:type="dxa"/>
            <w:right w:w="0" w:type="dxa"/>
          </w:tblCellMar>
          <w:tblLook w:val="04A0"/>
        </w:tblPrEx>
        <w:trPr>
          <w:trHeight w:val="222"/>
        </w:trPr>
        <w:tc>
          <w:tcPr>
            <w:tcW w:w="4820" w:type="dxa"/>
            <w:vMerge/>
          </w:tcPr>
          <w:p w:rsidR="00846ABF" w:rsidRPr="006D6DE6" w:rsidP="00A81FDC" w14:paraId="6E20EB65" w14:textId="77777777"/>
        </w:tc>
        <w:tc>
          <w:tcPr>
            <w:tcW w:w="2169" w:type="dxa"/>
            <w:gridSpan w:val="2"/>
          </w:tcPr>
          <w:p w:rsidR="00846ABF" w:rsidRPr="006D6DE6" w:rsidP="00A81FDC" w14:paraId="7FF376BA" w14:textId="77777777"/>
        </w:tc>
        <w:tc>
          <w:tcPr>
            <w:tcW w:w="2362" w:type="dxa"/>
            <w:gridSpan w:val="3"/>
          </w:tcPr>
          <w:p w:rsidR="00846ABF" w:rsidRPr="006D6DE6" w:rsidP="00A81FDC" w14:paraId="3A1EB349" w14:textId="77777777"/>
        </w:tc>
      </w:tr>
      <w:tr w14:paraId="70774DC6" w14:textId="77777777" w:rsidTr="00955A55">
        <w:tblPrEx>
          <w:tblW w:w="9351" w:type="dxa"/>
          <w:tblCellMar>
            <w:left w:w="0" w:type="dxa"/>
            <w:right w:w="0" w:type="dxa"/>
          </w:tblCellMar>
          <w:tblLook w:val="04A0"/>
        </w:tblPrEx>
        <w:trPr>
          <w:trHeight w:val="221"/>
        </w:trPr>
        <w:tc>
          <w:tcPr>
            <w:tcW w:w="4820" w:type="dxa"/>
          </w:tcPr>
          <w:p w:rsidR="004A5769" w:rsidRPr="00846ABF" w:rsidP="004A5769" w14:paraId="504DB283" w14:textId="77777777">
            <w:pPr>
              <w:rPr>
                <w:sz w:val="14"/>
                <w:szCs w:val="16"/>
              </w:rPr>
            </w:pPr>
            <w:r w:rsidRPr="00846ABF">
              <w:rPr>
                <w:sz w:val="14"/>
                <w:szCs w:val="16"/>
              </w:rPr>
              <w:t>Til:</w:t>
            </w:r>
            <w:r w:rsidRPr="00846ABF" w:rsidR="005B621A">
              <w:rPr>
                <w:sz w:val="14"/>
                <w:szCs w:val="16"/>
              </w:rPr>
              <w:t xml:space="preserve"> </w:t>
            </w:r>
          </w:p>
        </w:tc>
        <w:tc>
          <w:tcPr>
            <w:tcW w:w="20" w:type="dxa"/>
          </w:tcPr>
          <w:p w:rsidR="004A5769" w:rsidRPr="00846ABF" w:rsidP="004A5769" w14:paraId="4FC62DF8" w14:textId="77777777">
            <w:pPr>
              <w:rPr>
                <w:sz w:val="14"/>
                <w:szCs w:val="16"/>
              </w:rPr>
            </w:pPr>
          </w:p>
        </w:tc>
        <w:tc>
          <w:tcPr>
            <w:tcW w:w="4511" w:type="dxa"/>
            <w:gridSpan w:val="4"/>
          </w:tcPr>
          <w:p w:rsidR="004A5769" w:rsidRPr="00846ABF" w:rsidP="004A5769" w14:paraId="00DE6FE5" w14:textId="77777777">
            <w:pPr>
              <w:rPr>
                <w:sz w:val="14"/>
                <w:szCs w:val="16"/>
              </w:rPr>
            </w:pPr>
            <w:r w:rsidRPr="00846ABF">
              <w:rPr>
                <w:sz w:val="14"/>
                <w:szCs w:val="16"/>
              </w:rPr>
              <w:t>Saksbehandler, innvalgstelefon</w:t>
            </w:r>
          </w:p>
        </w:tc>
      </w:tr>
      <w:tr w14:paraId="345554C2" w14:textId="77777777" w:rsidTr="00955A55">
        <w:tblPrEx>
          <w:tblW w:w="9351" w:type="dxa"/>
          <w:tblCellMar>
            <w:left w:w="0" w:type="dxa"/>
            <w:right w:w="0" w:type="dxa"/>
          </w:tblCellMar>
          <w:tblLook w:val="04A0"/>
        </w:tblPrEx>
        <w:tc>
          <w:tcPr>
            <w:tcW w:w="4820" w:type="dxa"/>
            <w:tcMar>
              <w:left w:w="0" w:type="dxa"/>
              <w:right w:w="0" w:type="dxa"/>
            </w:tcMar>
          </w:tcPr>
          <w:p w:rsidR="004A5769" w:rsidRPr="006D6DE6" w:rsidP="004A5769" w14:paraId="2BEF9DDE" w14:textId="0D2D7207">
            <w:r>
              <w:t>Kommunene i Trøndelag</w:t>
            </w:r>
          </w:p>
        </w:tc>
        <w:tc>
          <w:tcPr>
            <w:tcW w:w="20" w:type="dxa"/>
            <w:tcMar>
              <w:left w:w="0" w:type="dxa"/>
              <w:right w:w="0" w:type="dxa"/>
            </w:tcMar>
          </w:tcPr>
          <w:p w:rsidR="004A5769" w:rsidRPr="006D6DE6" w:rsidP="004A5769" w14:paraId="2288131C" w14:textId="77777777">
            <w:pPr>
              <w:jc w:val="center"/>
            </w:pPr>
          </w:p>
        </w:tc>
        <w:tc>
          <w:tcPr>
            <w:tcW w:w="4511" w:type="dxa"/>
            <w:gridSpan w:val="4"/>
          </w:tcPr>
          <w:p w:rsidR="004A5769" w:rsidRPr="006D6DE6" w:rsidP="004A5769" w14:paraId="5951DB42" w14:textId="77777777">
            <w:pPr>
              <w:rPr>
                <w:szCs w:val="18"/>
              </w:rPr>
            </w:pPr>
            <w:bookmarkStart w:id="3" w:name="SaksbehandlerNavn"/>
            <w:r w:rsidRPr="006D6DE6">
              <w:rPr>
                <w:szCs w:val="18"/>
              </w:rPr>
              <w:t>Nathalie Meidell Skjold</w:t>
            </w:r>
            <w:bookmarkEnd w:id="3"/>
            <w:r w:rsidRPr="006D6DE6">
              <w:rPr>
                <w:szCs w:val="18"/>
              </w:rPr>
              <w:t xml:space="preserve">, </w:t>
            </w:r>
            <w:bookmarkStart w:id="4" w:name="saksbehtlf"/>
            <w:bookmarkEnd w:id="4"/>
          </w:p>
        </w:tc>
      </w:tr>
      <w:tr w14:paraId="05194998" w14:textId="77777777" w:rsidTr="00955A55">
        <w:tblPrEx>
          <w:tblW w:w="9351" w:type="dxa"/>
          <w:tblCellMar>
            <w:left w:w="0" w:type="dxa"/>
            <w:right w:w="0" w:type="dxa"/>
          </w:tblCellMar>
          <w:tblLook w:val="04A0"/>
        </w:tblPrEx>
        <w:tc>
          <w:tcPr>
            <w:tcW w:w="4820" w:type="dxa"/>
          </w:tcPr>
          <w:p w:rsidR="007F6A5E" w:rsidRPr="006D6DE6" w:rsidP="004A5769" w14:paraId="48A171E4" w14:textId="77777777"/>
        </w:tc>
        <w:tc>
          <w:tcPr>
            <w:tcW w:w="20" w:type="dxa"/>
          </w:tcPr>
          <w:p w:rsidR="007F6A5E" w:rsidRPr="006D6DE6" w:rsidP="004A5769" w14:paraId="749B0261" w14:textId="77777777"/>
        </w:tc>
        <w:tc>
          <w:tcPr>
            <w:tcW w:w="4511" w:type="dxa"/>
            <w:gridSpan w:val="4"/>
          </w:tcPr>
          <w:p w:rsidR="007F6A5E" w:rsidRPr="006D6DE6" w:rsidP="004A5769" w14:paraId="79B7392C" w14:textId="77777777">
            <w:pPr>
              <w:rPr>
                <w:szCs w:val="18"/>
              </w:rPr>
            </w:pPr>
          </w:p>
        </w:tc>
      </w:tr>
      <w:tr w14:paraId="7B2E915F" w14:textId="77777777" w:rsidTr="00955A55">
        <w:tblPrEx>
          <w:tblW w:w="9351" w:type="dxa"/>
          <w:tblCellMar>
            <w:left w:w="0" w:type="dxa"/>
            <w:right w:w="0" w:type="dxa"/>
          </w:tblCellMar>
          <w:tblLook w:val="04A0"/>
        </w:tblPrEx>
        <w:tc>
          <w:tcPr>
            <w:tcW w:w="4820" w:type="dxa"/>
          </w:tcPr>
          <w:p w:rsidR="004A5769" w:rsidRPr="00846ABF" w:rsidP="004A5769" w14:paraId="36290265" w14:textId="48D36AEC">
            <w:pPr>
              <w:rPr>
                <w:sz w:val="14"/>
              </w:rPr>
            </w:pPr>
          </w:p>
        </w:tc>
        <w:tc>
          <w:tcPr>
            <w:tcW w:w="20" w:type="dxa"/>
          </w:tcPr>
          <w:p w:rsidR="004A5769" w:rsidRPr="00846ABF" w:rsidP="004A5769" w14:paraId="5E4D9CAE" w14:textId="77777777">
            <w:pPr>
              <w:rPr>
                <w:sz w:val="14"/>
              </w:rPr>
            </w:pPr>
          </w:p>
        </w:tc>
        <w:tc>
          <w:tcPr>
            <w:tcW w:w="4511" w:type="dxa"/>
            <w:gridSpan w:val="4"/>
          </w:tcPr>
          <w:p w:rsidR="004A5769" w:rsidRPr="006D6DE6" w:rsidP="004A5769" w14:paraId="62809DB2" w14:textId="77777777">
            <w:pPr>
              <w:rPr>
                <w:szCs w:val="18"/>
              </w:rPr>
            </w:pPr>
            <w:bookmarkStart w:id="5" w:name="UoffParagraf"/>
            <w:bookmarkEnd w:id="5"/>
          </w:p>
        </w:tc>
      </w:tr>
    </w:tbl>
    <w:p w:rsidR="007F6A5E" w:rsidRPr="00E12143" w:rsidP="00A81FDC" w14:paraId="43FC860F" w14:textId="77777777">
      <w:pPr>
        <w:sectPr w:rsidSect="008C38E0">
          <w:headerReference w:type="default" r:id="rId6"/>
          <w:pgSz w:w="11906" w:h="16838"/>
          <w:pgMar w:top="851" w:right="1106" w:bottom="1531" w:left="1418" w:header="709" w:footer="709" w:gutter="0"/>
          <w:cols w:space="708"/>
          <w:titlePg/>
          <w:docGrid w:linePitch="360"/>
        </w:sectPr>
      </w:pPr>
      <w:bookmarkStart w:id="6" w:name="Fasttabell"/>
      <w:bookmarkStart w:id="7" w:name="INTERNKOPITILTABELL"/>
      <w:bookmarkEnd w:id="6"/>
      <w:bookmarkEnd w:id="7"/>
    </w:p>
    <w:p w:rsidR="00B461C3" w:rsidP="00E9719D" w14:paraId="78D0644B" w14:textId="695B2291">
      <w:pPr>
        <w:pStyle w:val="Heading1"/>
      </w:pPr>
      <w:bookmarkStart w:id="8" w:name="Start"/>
      <w:bookmarkEnd w:id="8"/>
    </w:p>
    <w:p w:rsidR="008939EA" w:rsidRPr="00E12143" w:rsidP="008939EA" w14:paraId="15A6DD62" w14:textId="77777777">
      <w:pPr>
        <w:pStyle w:val="Heading1"/>
      </w:pPr>
      <w:r w:rsidRPr="00E12143">
        <w:t>Tilskudd til drenering-rammer og prioriteringer 2024</w:t>
      </w:r>
    </w:p>
    <w:p w:rsidR="008939EA" w:rsidP="008939EA" w14:paraId="3D87B299" w14:textId="77777777">
      <w:r>
        <w:t xml:space="preserve">Fylkesramma for tilskudd til drenering i jordbruket i 2024 er nå fordelt i Agros på kommunene i Trøndelag. Oversikt over kommunale rammer er satt opp i tabell nederst i dette vedlegget. </w:t>
      </w:r>
    </w:p>
    <w:p w:rsidR="008939EA" w:rsidP="008939EA" w14:paraId="19DB61B0" w14:textId="77777777"/>
    <w:p w:rsidR="008939EA" w:rsidP="008939EA" w14:paraId="103F6911" w14:textId="77777777">
      <w:r>
        <w:t xml:space="preserve">I dette vedlegget informerer vi også kort om ordninga og hvordan Statsforvalteren har prioritert ved fordeling, samt føringer for kommunenes forvaltning av midlene i 2024.  </w:t>
      </w:r>
    </w:p>
    <w:p w:rsidR="008939EA" w:rsidP="008939EA" w14:paraId="6BAE79A1" w14:textId="77777777"/>
    <w:p w:rsidR="008939EA" w:rsidRPr="006864BE" w:rsidP="008939EA" w14:paraId="1F7D0822" w14:textId="77777777">
      <w:pPr>
        <w:rPr>
          <w:b/>
          <w:bCs/>
        </w:rPr>
      </w:pPr>
      <w:r w:rsidRPr="006864BE">
        <w:rPr>
          <w:b/>
          <w:bCs/>
        </w:rPr>
        <w:t>1. Innledning</w:t>
      </w:r>
    </w:p>
    <w:p w:rsidR="008939EA" w:rsidRPr="006864BE" w:rsidP="008939EA" w14:paraId="1AADB088" w14:textId="397DE5A6">
      <w:pPr>
        <w:rPr>
          <w:bCs/>
        </w:rPr>
      </w:pPr>
      <w:r w:rsidRPr="006864BE">
        <w:rPr>
          <w:bCs/>
        </w:rPr>
        <w:t xml:space="preserve">Rammer og prioriteringer for tilskudd til </w:t>
      </w:r>
      <w:r>
        <w:rPr>
          <w:bCs/>
        </w:rPr>
        <w:t>drenering i</w:t>
      </w:r>
      <w:r w:rsidRPr="006864BE">
        <w:rPr>
          <w:bCs/>
        </w:rPr>
        <w:t xml:space="preserve"> jordbruket i 202</w:t>
      </w:r>
      <w:r>
        <w:rPr>
          <w:bCs/>
        </w:rPr>
        <w:t xml:space="preserve">4 </w:t>
      </w:r>
      <w:r w:rsidRPr="006864BE">
        <w:rPr>
          <w:bCs/>
        </w:rPr>
        <w:t>er utarbeidet på bakgrunn av</w:t>
      </w:r>
      <w:r>
        <w:rPr>
          <w:bCs/>
        </w:rPr>
        <w:t xml:space="preserve"> jordbruksareal</w:t>
      </w:r>
      <w:r w:rsidR="00E9719D">
        <w:rPr>
          <w:bCs/>
        </w:rPr>
        <w:t xml:space="preserve"> og åkerareal</w:t>
      </w:r>
      <w:r w:rsidR="009619DF">
        <w:rPr>
          <w:bCs/>
        </w:rPr>
        <w:t xml:space="preserve"> (2023)</w:t>
      </w:r>
      <w:r>
        <w:rPr>
          <w:bCs/>
        </w:rPr>
        <w:t>,</w:t>
      </w:r>
      <w:r w:rsidR="00E9719D">
        <w:rPr>
          <w:bCs/>
        </w:rPr>
        <w:t xml:space="preserve"> aktivitet på dreneringsområdet de siste 3 år,</w:t>
      </w:r>
      <w:r>
        <w:rPr>
          <w:bCs/>
        </w:rPr>
        <w:t xml:space="preserve"> tildeling som ble satt i fjor (2023) samt korn og grønnsaksareal.  </w:t>
      </w:r>
    </w:p>
    <w:p w:rsidR="008939EA" w:rsidP="008939EA" w14:paraId="145A2361" w14:textId="77777777"/>
    <w:p w:rsidR="008939EA" w:rsidRPr="00CC0E67" w:rsidP="008939EA" w14:paraId="610C0F23" w14:textId="77777777">
      <w:pPr>
        <w:pStyle w:val="Subtitle"/>
        <w:rPr>
          <w:lang w:eastAsia="nb-NO"/>
        </w:rPr>
      </w:pPr>
      <w:r w:rsidRPr="00CC0E67">
        <w:rPr>
          <w:lang w:eastAsia="nb-NO"/>
        </w:rPr>
        <w:t>Mål og målgruppe for ordningen</w:t>
      </w:r>
    </w:p>
    <w:p w:rsidR="008939EA" w:rsidP="008939EA" w14:paraId="26AD95D2" w14:textId="77777777">
      <w:pPr>
        <w:rPr>
          <w:lang w:eastAsia="nb-NO"/>
        </w:rPr>
      </w:pPr>
      <w:r w:rsidRPr="009A7B55">
        <w:rPr>
          <w:lang w:eastAsia="nb-NO"/>
        </w:rPr>
        <w:t xml:space="preserve">Formålet med </w:t>
      </w:r>
      <w:r>
        <w:rPr>
          <w:lang w:eastAsia="nb-NO"/>
        </w:rPr>
        <w:t>tilskuddet</w:t>
      </w:r>
      <w:r w:rsidRPr="009A7B55">
        <w:rPr>
          <w:lang w:eastAsia="nb-NO"/>
        </w:rPr>
        <w:t xml:space="preserve"> er å øke kvaliteten på tidligere grøftet jordbruksjord ved å gi tilskudd til drenering av dårlig drenert jord med potensial for økt jordbruksproduksjon, samt å redusere faren for erosjon og overflateavrenning av næringsstoffer til vassdrag.</w:t>
      </w:r>
    </w:p>
    <w:p w:rsidR="008939EA" w:rsidP="008939EA" w14:paraId="6C59668A" w14:textId="77777777">
      <w:pPr>
        <w:rPr>
          <w:lang w:eastAsia="nb-NO"/>
        </w:rPr>
      </w:pPr>
      <w:r w:rsidRPr="00700397">
        <w:rPr>
          <w:lang w:eastAsia="nb-NO"/>
        </w:rPr>
        <w:t>Tilskudd kan gis til eier av eller foretak som leier tidligere grøftet jordbruksareal og som drenerer dette arealet. For planerte arealer kan det gis tilskudd til arealer som ikke tidligere er grøftet.</w:t>
      </w:r>
    </w:p>
    <w:p w:rsidR="008939EA" w:rsidRPr="009A7B55" w:rsidP="008939EA" w14:paraId="3CBFA063" w14:textId="77777777">
      <w:pPr>
        <w:rPr>
          <w:lang w:eastAsia="nb-NO"/>
        </w:rPr>
      </w:pPr>
    </w:p>
    <w:p w:rsidR="008939EA" w:rsidP="008939EA" w14:paraId="1E78D14E" w14:textId="77777777">
      <w:pPr>
        <w:rPr>
          <w:lang w:eastAsia="nb-NO"/>
        </w:rPr>
      </w:pPr>
      <w:r>
        <w:rPr>
          <w:lang w:eastAsia="nb-NO"/>
        </w:rPr>
        <w:t xml:space="preserve">Se </w:t>
      </w:r>
      <w:hyperlink r:id="rId7" w:history="1">
        <w:r w:rsidRPr="002F508B">
          <w:rPr>
            <w:rStyle w:val="Hyperlink"/>
            <w:i/>
            <w:iCs/>
            <w:lang w:eastAsia="nb-NO"/>
          </w:rPr>
          <w:t>Landbruksdirektoratets veiviser</w:t>
        </w:r>
      </w:hyperlink>
      <w:r>
        <w:rPr>
          <w:lang w:eastAsia="nb-NO"/>
        </w:rPr>
        <w:t xml:space="preserve"> om f</w:t>
      </w:r>
      <w:r w:rsidRPr="00CC0E67">
        <w:rPr>
          <w:lang w:eastAsia="nb-NO"/>
        </w:rPr>
        <w:t>orvaltning av ordningen</w:t>
      </w:r>
    </w:p>
    <w:p w:rsidR="008939EA" w:rsidP="008939EA" w14:paraId="1C0260EC" w14:textId="77777777">
      <w:pPr>
        <w:rPr>
          <w:lang w:eastAsia="nb-NO"/>
        </w:rPr>
      </w:pPr>
    </w:p>
    <w:p w:rsidR="008939EA" w:rsidRPr="00661317" w:rsidP="008939EA" w14:paraId="224D116E" w14:textId="77777777">
      <w:pPr>
        <w:pStyle w:val="Subtitle"/>
        <w:rPr>
          <w:lang w:eastAsia="nb-NO"/>
        </w:rPr>
      </w:pPr>
      <w:r>
        <w:rPr>
          <w:lang w:eastAsia="nb-NO"/>
        </w:rPr>
        <w:t>R</w:t>
      </w:r>
      <w:r w:rsidRPr="00661317">
        <w:rPr>
          <w:lang w:eastAsia="nb-NO"/>
        </w:rPr>
        <w:t xml:space="preserve">ammer for </w:t>
      </w:r>
      <w:r>
        <w:rPr>
          <w:lang w:eastAsia="nb-NO"/>
        </w:rPr>
        <w:t>2024</w:t>
      </w:r>
    </w:p>
    <w:p w:rsidR="008939EA" w:rsidP="008939EA" w14:paraId="01A27EAF" w14:textId="77777777">
      <w:pPr>
        <w:rPr>
          <w:lang w:eastAsia="nb-NO"/>
        </w:rPr>
      </w:pPr>
      <w:r>
        <w:rPr>
          <w:lang w:eastAsia="nb-NO"/>
        </w:rPr>
        <w:t>(Se vedlagte oversikt)</w:t>
      </w:r>
    </w:p>
    <w:p w:rsidR="008939EA" w:rsidP="008939EA" w14:paraId="51E2AB42" w14:textId="77777777">
      <w:pPr>
        <w:rPr>
          <w:lang w:eastAsia="nb-NO"/>
        </w:rPr>
      </w:pPr>
    </w:p>
    <w:p w:rsidR="008939EA" w:rsidRPr="000149B1" w:rsidP="008939EA" w14:paraId="7FD0D8D8" w14:textId="77777777">
      <w:pPr>
        <w:pStyle w:val="Subtitle"/>
      </w:pPr>
      <w:r w:rsidRPr="000149B1">
        <w:t>Fagsystem og tilganger</w:t>
      </w:r>
    </w:p>
    <w:p w:rsidR="008939EA" w:rsidP="008939EA" w14:paraId="0A1BC1EB" w14:textId="77777777">
      <w:pPr>
        <w:pStyle w:val="ListParagraph"/>
        <w:numPr>
          <w:ilvl w:val="0"/>
          <w:numId w:val="1"/>
        </w:numPr>
        <w:rPr>
          <w:lang w:eastAsia="nb-NO"/>
        </w:rPr>
      </w:pPr>
      <w:r w:rsidRPr="0044501A">
        <w:rPr>
          <w:lang w:eastAsia="nb-NO"/>
        </w:rPr>
        <w:t xml:space="preserve">Om </w:t>
      </w:r>
      <w:r>
        <w:rPr>
          <w:lang w:eastAsia="nb-NO"/>
        </w:rPr>
        <w:t xml:space="preserve">fagsystemet «Agros» – </w:t>
      </w:r>
      <w:hyperlink r:id="rId8" w:history="1">
        <w:r w:rsidRPr="00131256">
          <w:rPr>
            <w:rStyle w:val="Hyperlink"/>
            <w:lang w:eastAsia="nb-NO"/>
          </w:rPr>
          <w:t xml:space="preserve">se </w:t>
        </w:r>
        <w:r>
          <w:rPr>
            <w:rStyle w:val="Hyperlink"/>
            <w:lang w:eastAsia="nb-NO"/>
          </w:rPr>
          <w:t>veiledning til saksbehandlere</w:t>
        </w:r>
        <w:r w:rsidRPr="00131256">
          <w:rPr>
            <w:rStyle w:val="Hyperlink"/>
            <w:lang w:eastAsia="nb-NO"/>
          </w:rPr>
          <w:t xml:space="preserve"> </w:t>
        </w:r>
      </w:hyperlink>
      <w:r w:rsidRPr="0044501A">
        <w:rPr>
          <w:lang w:eastAsia="nb-NO"/>
        </w:rPr>
        <w:t xml:space="preserve">  </w:t>
      </w:r>
    </w:p>
    <w:p w:rsidR="008939EA" w:rsidRPr="00FF23FA" w:rsidP="008939EA" w14:paraId="65EB1A21" w14:textId="77777777">
      <w:pPr>
        <w:pStyle w:val="ListParagraph"/>
        <w:numPr>
          <w:ilvl w:val="0"/>
          <w:numId w:val="1"/>
        </w:numPr>
        <w:rPr>
          <w:rStyle w:val="Hyperlink"/>
          <w:color w:val="auto"/>
          <w:u w:val="none"/>
          <w:lang w:eastAsia="nb-NO"/>
        </w:rPr>
      </w:pPr>
      <w:r w:rsidRPr="00131256">
        <w:rPr>
          <w:lang w:eastAsia="nb-NO"/>
        </w:rPr>
        <w:t>T</w:t>
      </w:r>
      <w:r w:rsidRPr="0044501A">
        <w:rPr>
          <w:lang w:eastAsia="nb-NO"/>
        </w:rPr>
        <w:t>ilgang</w:t>
      </w:r>
      <w:r>
        <w:rPr>
          <w:lang w:eastAsia="nb-NO"/>
        </w:rPr>
        <w:t xml:space="preserve"> til fagsystemet – </w:t>
      </w:r>
      <w:hyperlink r:id="rId9" w:history="1">
        <w:r w:rsidRPr="00262CA9">
          <w:rPr>
            <w:rStyle w:val="Hyperlink"/>
            <w:lang w:eastAsia="nb-NO"/>
          </w:rPr>
          <w:t xml:space="preserve">se </w:t>
        </w:r>
        <w:r>
          <w:rPr>
            <w:rStyle w:val="Hyperlink"/>
            <w:lang w:eastAsia="nb-NO"/>
          </w:rPr>
          <w:t>veiledning om Agros og roller</w:t>
        </w:r>
      </w:hyperlink>
    </w:p>
    <w:p w:rsidR="008939EA" w:rsidP="008939EA" w14:paraId="075641F4" w14:textId="77777777">
      <w:pPr>
        <w:rPr>
          <w:lang w:eastAsia="nb-NO"/>
        </w:rPr>
      </w:pPr>
    </w:p>
    <w:p w:rsidR="008939EA" w:rsidRPr="00442BA4" w:rsidP="008939EA" w14:paraId="132CD894" w14:textId="77777777">
      <w:pPr>
        <w:rPr>
          <w:b/>
          <w:bCs/>
          <w:lang w:eastAsia="nb-NO"/>
        </w:rPr>
      </w:pPr>
      <w:r w:rsidRPr="00442BA4">
        <w:rPr>
          <w:b/>
          <w:bCs/>
          <w:lang w:eastAsia="nb-NO"/>
        </w:rPr>
        <w:t>2.Disonible midler i Trøndelag for 2024</w:t>
      </w:r>
    </w:p>
    <w:tbl>
      <w:tblPr>
        <w:tblStyle w:val="TableGrid"/>
        <w:tblW w:w="0" w:type="auto"/>
        <w:tblLook w:val="04A0"/>
      </w:tblPr>
      <w:tblGrid>
        <w:gridCol w:w="4686"/>
        <w:gridCol w:w="4686"/>
      </w:tblGrid>
      <w:tr w14:paraId="41AB5A12" w14:textId="77777777" w:rsidTr="004E4643">
        <w:tblPrEx>
          <w:tblW w:w="0" w:type="auto"/>
          <w:tblLook w:val="04A0"/>
        </w:tblPrEx>
        <w:tc>
          <w:tcPr>
            <w:tcW w:w="4686" w:type="dxa"/>
          </w:tcPr>
          <w:p w:rsidR="008939EA" w:rsidRPr="0020642B" w:rsidP="004E4643" w14:paraId="3A7D5C50" w14:textId="77777777">
            <w:pPr>
              <w:rPr>
                <w:b/>
                <w:bCs/>
                <w:lang w:eastAsia="nb-NO"/>
              </w:rPr>
            </w:pPr>
            <w:r w:rsidRPr="0020642B">
              <w:rPr>
                <w:b/>
                <w:bCs/>
                <w:lang w:eastAsia="nb-NO"/>
              </w:rPr>
              <w:t>Formål</w:t>
            </w:r>
          </w:p>
        </w:tc>
        <w:tc>
          <w:tcPr>
            <w:tcW w:w="4686" w:type="dxa"/>
          </w:tcPr>
          <w:p w:rsidR="008939EA" w:rsidRPr="0020642B" w:rsidP="004E4643" w14:paraId="764B4BE4" w14:textId="77777777">
            <w:pPr>
              <w:rPr>
                <w:b/>
                <w:bCs/>
                <w:lang w:eastAsia="nb-NO"/>
              </w:rPr>
            </w:pPr>
            <w:r w:rsidRPr="0020642B">
              <w:rPr>
                <w:b/>
                <w:bCs/>
                <w:lang w:eastAsia="nb-NO"/>
              </w:rPr>
              <w:t xml:space="preserve">Tildeling 2024 fra Landbruksdirektoratet </w:t>
            </w:r>
          </w:p>
        </w:tc>
      </w:tr>
      <w:tr w14:paraId="6C02A659" w14:textId="77777777" w:rsidTr="004E4643">
        <w:tblPrEx>
          <w:tblW w:w="0" w:type="auto"/>
          <w:tblLook w:val="04A0"/>
        </w:tblPrEx>
        <w:tc>
          <w:tcPr>
            <w:tcW w:w="4686" w:type="dxa"/>
          </w:tcPr>
          <w:p w:rsidR="008939EA" w:rsidP="004E4643" w14:paraId="65AB4246" w14:textId="77777777">
            <w:pPr>
              <w:rPr>
                <w:lang w:eastAsia="nb-NO"/>
              </w:rPr>
            </w:pPr>
            <w:r>
              <w:rPr>
                <w:lang w:eastAsia="nb-NO"/>
              </w:rPr>
              <w:t xml:space="preserve">Drenering </w:t>
            </w:r>
          </w:p>
        </w:tc>
        <w:tc>
          <w:tcPr>
            <w:tcW w:w="4686" w:type="dxa"/>
          </w:tcPr>
          <w:p w:rsidR="008939EA" w:rsidP="004E4643" w14:paraId="761A5A2F" w14:textId="77777777">
            <w:pPr>
              <w:rPr>
                <w:lang w:eastAsia="nb-NO"/>
              </w:rPr>
            </w:pPr>
            <w:r>
              <w:rPr>
                <w:lang w:eastAsia="nb-NO"/>
              </w:rPr>
              <w:t>9 000 000</w:t>
            </w:r>
          </w:p>
        </w:tc>
      </w:tr>
    </w:tbl>
    <w:p w:rsidR="008939EA" w:rsidRPr="00CC0E67" w:rsidP="008939EA" w14:paraId="3CB4861D" w14:textId="77777777">
      <w:pPr>
        <w:rPr>
          <w:lang w:eastAsia="nb-NO"/>
        </w:rPr>
      </w:pPr>
    </w:p>
    <w:p w:rsidR="008939EA" w:rsidP="008939EA" w14:paraId="7489E205" w14:textId="77777777">
      <w:pPr>
        <w:rPr>
          <w:lang w:eastAsia="nb-NO"/>
        </w:rPr>
      </w:pPr>
    </w:p>
    <w:p w:rsidR="008939EA" w:rsidP="008939EA" w14:paraId="68B0D1B3" w14:textId="77777777">
      <w:pPr>
        <w:rPr>
          <w:lang w:eastAsia="nb-NO"/>
        </w:rPr>
      </w:pPr>
    </w:p>
    <w:p w:rsidR="008939EA" w:rsidRPr="0044501A" w:rsidP="008939EA" w14:paraId="6269B1D7" w14:textId="77777777">
      <w:pPr>
        <w:rPr>
          <w:lang w:eastAsia="nb-NO"/>
        </w:rPr>
      </w:pPr>
    </w:p>
    <w:p w:rsidR="00E9719D" w:rsidP="008939EA" w14:paraId="559A271B" w14:textId="77777777">
      <w:pPr>
        <w:rPr>
          <w:b/>
          <w:bCs/>
        </w:rPr>
      </w:pPr>
    </w:p>
    <w:p w:rsidR="00E9719D" w:rsidP="008939EA" w14:paraId="12D222AF" w14:textId="77777777">
      <w:pPr>
        <w:rPr>
          <w:b/>
          <w:bCs/>
        </w:rPr>
      </w:pPr>
    </w:p>
    <w:p w:rsidR="008939EA" w:rsidRPr="00B01590" w:rsidP="008939EA" w14:paraId="0BD881F1" w14:textId="15DB22C8">
      <w:pPr>
        <w:rPr>
          <w:b/>
          <w:bCs/>
        </w:rPr>
      </w:pPr>
      <w:r w:rsidRPr="00B01590">
        <w:rPr>
          <w:b/>
          <w:bCs/>
        </w:rPr>
        <w:t>3. Tildeling av drenerings-midler 2024 – nasjonale føringer</w:t>
      </w:r>
    </w:p>
    <w:p w:rsidR="008939EA" w:rsidP="008939EA" w14:paraId="0BFD9F32" w14:textId="77777777">
      <w:r w:rsidRPr="00B01590">
        <w:t>Statsforvalteren får hvert år sitt tildelingsbrev med føringer for hvordan drenerings-midlene skal håndteres, og hvordan vi skal vurdere tildeling av midler. Nasjonale føringer for 2023 er:</w:t>
      </w:r>
    </w:p>
    <w:p w:rsidR="008939EA" w:rsidP="008939EA" w14:paraId="1BD0EDD3" w14:textId="77777777"/>
    <w:p w:rsidR="008939EA" w:rsidP="008939EA" w14:paraId="39407505" w14:textId="77777777">
      <w:r>
        <w:t xml:space="preserve">Statsforvalteren skal fordele midlene til kommunene. Kommunene skal lyse ut dreneringstilskuddet. </w:t>
      </w:r>
    </w:p>
    <w:p w:rsidR="008939EA" w:rsidP="008939EA" w14:paraId="78D61196" w14:textId="77777777">
      <w:r>
        <w:t xml:space="preserve">Det er beregnet en økning i tilsagn for 2024 som følge av 60 prosent økning i tilskuddssatsene etter jordbruksoppgjøret 2023. Landbruksdirektoratet har fordelt hele rammen.  </w:t>
      </w:r>
    </w:p>
    <w:p w:rsidR="008939EA" w:rsidP="008939EA" w14:paraId="476DA05A" w14:textId="77777777"/>
    <w:p w:rsidR="008939EA" w:rsidP="008939EA" w14:paraId="53AD7615" w14:textId="77777777">
      <w:r>
        <w:t xml:space="preserve">Korn-, potet- og grønnsaksarealer skal prioriteres ved fordeling av midlene, bl.a. av hensyn til vannmiljøutfordringer. </w:t>
      </w:r>
    </w:p>
    <w:p w:rsidR="008939EA" w:rsidP="008939EA" w14:paraId="4097F838" w14:textId="77777777"/>
    <w:p w:rsidR="008939EA" w:rsidP="008939EA" w14:paraId="211A4819" w14:textId="77777777">
      <w:r>
        <w:t>For å motivere til økt aktivitet har statsforvalteren en viktig rolle i å formidle informasjon og veiledning om tilskuddet og effekten av drenering.</w:t>
      </w:r>
    </w:p>
    <w:p w:rsidR="008939EA" w:rsidRPr="00BF780B" w:rsidP="008939EA" w14:paraId="084CB310" w14:textId="77777777"/>
    <w:p w:rsidR="008939EA" w:rsidP="008939EA" w14:paraId="017E2756" w14:textId="77777777"/>
    <w:p w:rsidR="008939EA" w:rsidRPr="00040D9D" w:rsidP="008939EA" w14:paraId="5FB7BC65" w14:textId="77777777">
      <w:pPr>
        <w:rPr>
          <w:bCs/>
          <w:i/>
          <w:iCs/>
        </w:rPr>
      </w:pPr>
      <w:r w:rsidRPr="00040D9D">
        <w:rPr>
          <w:bCs/>
          <w:i/>
          <w:iCs/>
        </w:rPr>
        <w:t xml:space="preserve">Håndtering av inndratte midler </w:t>
      </w:r>
    </w:p>
    <w:p w:rsidR="008939EA" w:rsidRPr="00040D9D" w:rsidP="008939EA" w14:paraId="26C36AB3" w14:textId="77777777">
      <w:r w:rsidRPr="00040D9D">
        <w:t xml:space="preserve">Inndratte midler i løpet av året kan kommunen beholde og disponere på nytt. Udisponerte midler, inklusive inndratte midler hos kommunene kan bli trukket tilbake for omfordeling i september eller november dersom kommunen ikke har ubehandla saker liggende på omfordelingstidspunktet. Ved årsskiftet vil udisponerte midler bli tilbakeført til </w:t>
      </w:r>
      <w:r>
        <w:t>Landbrukets Utredningsfond (LUF)</w:t>
      </w:r>
      <w:r w:rsidRPr="00040D9D">
        <w:t xml:space="preserve">. </w:t>
      </w:r>
    </w:p>
    <w:p w:rsidR="008939EA" w:rsidRPr="00040D9D" w:rsidP="008939EA" w14:paraId="31E12B92" w14:textId="77777777"/>
    <w:p w:rsidR="008939EA" w:rsidP="008939EA" w14:paraId="13DDE9F1" w14:textId="77777777">
      <w:pPr>
        <w:rPr>
          <w:b/>
          <w:bCs/>
        </w:rPr>
      </w:pPr>
    </w:p>
    <w:p w:rsidR="008939EA" w:rsidRPr="00040D9D" w:rsidP="008939EA" w14:paraId="26515203" w14:textId="466E6322">
      <w:pPr>
        <w:rPr>
          <w:b/>
          <w:bCs/>
        </w:rPr>
      </w:pPr>
      <w:r>
        <w:rPr>
          <w:b/>
          <w:bCs/>
        </w:rPr>
        <w:t>4</w:t>
      </w:r>
      <w:r w:rsidRPr="00040D9D">
        <w:rPr>
          <w:b/>
          <w:bCs/>
        </w:rPr>
        <w:t>. Frister</w:t>
      </w:r>
    </w:p>
    <w:p w:rsidR="008939EA" w:rsidRPr="00040D9D" w:rsidP="008939EA" w14:paraId="18C40BFE" w14:textId="77777777">
      <w:pPr>
        <w:numPr>
          <w:ilvl w:val="0"/>
          <w:numId w:val="2"/>
        </w:numPr>
      </w:pPr>
      <w:r w:rsidRPr="00040D9D">
        <w:t>10. september</w:t>
      </w:r>
      <w:r>
        <w:t>:</w:t>
      </w:r>
      <w:r>
        <w:br/>
      </w:r>
      <w:r w:rsidRPr="00040D9D">
        <w:t>Foreløpig rapport om forbruk/aktivitet i 202</w:t>
      </w:r>
      <w:r>
        <w:t>4</w:t>
      </w:r>
      <w:r w:rsidRPr="00040D9D">
        <w:t xml:space="preserve">, samt søknad om ekstratildeling. Ubrukte tilskuddsmidler (SMIL) på kommunal ramme trekkes inn for </w:t>
      </w:r>
      <w:r w:rsidRPr="00040D9D">
        <w:tab/>
        <w:t>omfordeling til kommuner med merbehov.    </w:t>
      </w:r>
    </w:p>
    <w:p w:rsidR="008939EA" w:rsidRPr="00040D9D" w:rsidP="008939EA" w14:paraId="340CCD04" w14:textId="77777777">
      <w:pPr>
        <w:numPr>
          <w:ilvl w:val="0"/>
          <w:numId w:val="2"/>
        </w:numPr>
      </w:pPr>
      <w:r w:rsidRPr="00040D9D">
        <w:t>10. november</w:t>
      </w:r>
      <w:r>
        <w:t>:</w:t>
      </w:r>
      <w:r w:rsidRPr="00040D9D">
        <w:tab/>
      </w:r>
      <w:r>
        <w:br/>
      </w:r>
      <w:r w:rsidRPr="00040D9D">
        <w:t>Rapportere forbruk/aktivitet i 202</w:t>
      </w:r>
      <w:r>
        <w:t>4</w:t>
      </w:r>
      <w:r w:rsidRPr="00040D9D">
        <w:t>, samt melde inn behov for midler for 202</w:t>
      </w:r>
      <w:r>
        <w:t>5</w:t>
      </w:r>
      <w:r w:rsidRPr="00040D9D">
        <w:t xml:space="preserve">. </w:t>
      </w:r>
      <w:r w:rsidRPr="00040D9D">
        <w:tab/>
      </w:r>
    </w:p>
    <w:p w:rsidR="008939EA" w:rsidRPr="00040D9D" w:rsidP="008939EA" w14:paraId="6A21DFB4" w14:textId="77777777">
      <w:pPr>
        <w:numPr>
          <w:ilvl w:val="0"/>
          <w:numId w:val="2"/>
        </w:numPr>
      </w:pPr>
      <w:r w:rsidRPr="00040D9D">
        <w:t>Medio desember</w:t>
      </w:r>
      <w:r>
        <w:t>:</w:t>
      </w:r>
      <w:r>
        <w:br/>
      </w:r>
      <w:r w:rsidRPr="00040D9D">
        <w:t>Absolutt siste frist for behandling av søknader, samt utbetaling av tilskudd. Da</w:t>
      </w:r>
      <w:r>
        <w:t xml:space="preserve">to </w:t>
      </w:r>
      <w:r w:rsidRPr="00040D9D">
        <w:t>fastsettes av Landbruksdirektoratet.</w:t>
      </w:r>
    </w:p>
    <w:p w:rsidR="008939EA" w:rsidRPr="00040D9D" w:rsidP="008939EA" w14:paraId="308FE0A5" w14:textId="77777777">
      <w:pPr>
        <w:rPr>
          <w:b/>
          <w:bCs/>
        </w:rPr>
      </w:pPr>
    </w:p>
    <w:p w:rsidR="008939EA" w:rsidP="008939EA" w14:paraId="0C4822DE" w14:textId="77777777">
      <w:pPr>
        <w:rPr>
          <w:b/>
          <w:bCs/>
        </w:rPr>
      </w:pPr>
    </w:p>
    <w:p w:rsidR="008939EA" w:rsidRPr="00040D9D" w:rsidP="008939EA" w14:paraId="1AA9F522" w14:textId="53194A67">
      <w:pPr>
        <w:rPr>
          <w:b/>
          <w:bCs/>
        </w:rPr>
      </w:pPr>
      <w:r>
        <w:rPr>
          <w:b/>
          <w:bCs/>
        </w:rPr>
        <w:t>5</w:t>
      </w:r>
      <w:r w:rsidRPr="00040D9D">
        <w:rPr>
          <w:b/>
          <w:bCs/>
        </w:rPr>
        <w:t>. Ansvarlige for ordninga hos Statsforvalteren:</w:t>
      </w:r>
    </w:p>
    <w:p w:rsidR="00826BF1" w:rsidRPr="00826BF1" w:rsidP="00826BF1" w14:paraId="2B56ADFC" w14:textId="77777777">
      <w:pPr>
        <w:pStyle w:val="ListParagraph"/>
        <w:numPr>
          <w:ilvl w:val="0"/>
          <w:numId w:val="4"/>
        </w:numPr>
        <w:rPr>
          <w:rFonts w:ascii="Calibri" w:hAnsi="Calibri"/>
        </w:rPr>
      </w:pPr>
      <w:r>
        <w:t xml:space="preserve">Nathalie Meidell Skjold, tel </w:t>
      </w:r>
      <w:r w:rsidRPr="00263C22">
        <w:t>74</w:t>
      </w:r>
      <w:r>
        <w:t xml:space="preserve"> </w:t>
      </w:r>
      <w:r w:rsidRPr="00263C22">
        <w:t>16</w:t>
      </w:r>
      <w:r>
        <w:t xml:space="preserve"> </w:t>
      </w:r>
      <w:r w:rsidRPr="00263C22">
        <w:t>80</w:t>
      </w:r>
      <w:r>
        <w:t xml:space="preserve"> </w:t>
      </w:r>
      <w:r w:rsidRPr="00263C22">
        <w:t>01</w:t>
      </w:r>
      <w:r>
        <w:t xml:space="preserve">, e-post: </w:t>
      </w:r>
      <w:hyperlink r:id="rId10" w:history="1">
        <w:r>
          <w:rPr>
            <w:rStyle w:val="Hyperlink"/>
          </w:rPr>
          <w:t>nathalie.meidell.skjold@statsforvalteren.no</w:t>
        </w:r>
      </w:hyperlink>
    </w:p>
    <w:p w:rsidR="00826BF1" w:rsidRPr="00826BF1" w:rsidP="00826BF1" w14:paraId="3852728F" w14:textId="77777777">
      <w:pPr>
        <w:pStyle w:val="ListParagraph"/>
        <w:numPr>
          <w:ilvl w:val="0"/>
          <w:numId w:val="4"/>
        </w:numPr>
        <w:rPr>
          <w:rFonts w:ascii="Calibri" w:hAnsi="Calibri"/>
        </w:rPr>
      </w:pPr>
      <w:r w:rsidRPr="00DD5FCA">
        <w:t>Marit Røstad</w:t>
      </w:r>
      <w:r w:rsidRPr="00040D9D">
        <w:t>,</w:t>
      </w:r>
      <w:r>
        <w:t xml:space="preserve"> </w:t>
      </w:r>
      <w:r w:rsidRPr="00040D9D">
        <w:t>tel 74 16 81 01, e-post:</w:t>
      </w:r>
      <w:r w:rsidRPr="00826BF1">
        <w:t xml:space="preserve"> </w:t>
      </w:r>
      <w:hyperlink r:id="rId11" w:history="1">
        <w:r>
          <w:rPr>
            <w:rStyle w:val="Hyperlink"/>
          </w:rPr>
          <w:t>marit.rostad@statsforvalteren.no</w:t>
        </w:r>
      </w:hyperlink>
    </w:p>
    <w:p w:rsidR="00826BF1" w:rsidRPr="00826BF1" w:rsidP="00826BF1" w14:paraId="178E14D2" w14:textId="7D261076">
      <w:pPr>
        <w:pStyle w:val="ListParagraph"/>
        <w:numPr>
          <w:ilvl w:val="0"/>
          <w:numId w:val="4"/>
        </w:numPr>
        <w:rPr>
          <w:rFonts w:ascii="Calibri" w:hAnsi="Calibri"/>
        </w:rPr>
      </w:pPr>
      <w:r w:rsidRPr="009B029D">
        <w:t>Anstein Lyngstad, tel 74 16 81 81, e-post</w:t>
      </w:r>
      <w:r>
        <w:t xml:space="preserve">: </w:t>
      </w:r>
      <w:hyperlink r:id="rId12" w:history="1">
        <w:r>
          <w:rPr>
            <w:rStyle w:val="Hyperlink"/>
          </w:rPr>
          <w:t>anstein.lyngstad@statsforvalteren.no</w:t>
        </w:r>
      </w:hyperlink>
    </w:p>
    <w:p w:rsidR="008939EA" w:rsidRPr="00040D9D" w:rsidP="00826BF1" w14:paraId="2B28E228" w14:textId="40C17070">
      <w:pPr>
        <w:ind w:left="720"/>
      </w:pPr>
    </w:p>
    <w:p w:rsidR="008939EA" w:rsidRPr="00BF780B" w:rsidP="008939EA" w14:paraId="5A78F19F" w14:textId="77777777"/>
    <w:p w:rsidR="008939EA" w:rsidP="008939EA" w14:paraId="4BA4CBCC" w14:textId="77777777">
      <w:pPr>
        <w:rPr>
          <w:b/>
          <w:bCs/>
        </w:rPr>
      </w:pPr>
    </w:p>
    <w:p w:rsidR="008939EA" w:rsidP="008939EA" w14:paraId="41AD64DD" w14:textId="77777777">
      <w:pPr>
        <w:rPr>
          <w:b/>
          <w:bCs/>
        </w:rPr>
      </w:pPr>
    </w:p>
    <w:p w:rsidR="008939EA" w:rsidP="008939EA" w14:paraId="7E27724F" w14:textId="77777777">
      <w:pPr>
        <w:rPr>
          <w:b/>
          <w:bCs/>
        </w:rPr>
      </w:pPr>
    </w:p>
    <w:p w:rsidR="008939EA" w:rsidP="008939EA" w14:paraId="5E2FA33F" w14:textId="77777777">
      <w:pPr>
        <w:rPr>
          <w:b/>
          <w:bCs/>
        </w:rPr>
      </w:pPr>
    </w:p>
    <w:p w:rsidR="008939EA" w:rsidP="008939EA" w14:paraId="01E97579" w14:textId="77777777">
      <w:pPr>
        <w:rPr>
          <w:b/>
          <w:bCs/>
        </w:rPr>
      </w:pPr>
    </w:p>
    <w:p w:rsidR="008939EA" w:rsidP="008939EA" w14:paraId="2EA29D40" w14:textId="77777777">
      <w:pPr>
        <w:rPr>
          <w:b/>
          <w:bCs/>
        </w:rPr>
      </w:pPr>
    </w:p>
    <w:p w:rsidR="008939EA" w:rsidP="008939EA" w14:paraId="1531DA6D" w14:textId="77777777">
      <w:pPr>
        <w:rPr>
          <w:b/>
          <w:bCs/>
        </w:rPr>
      </w:pPr>
    </w:p>
    <w:p w:rsidR="008939EA" w:rsidP="008939EA" w14:paraId="5FB6EF27" w14:textId="77777777">
      <w:pPr>
        <w:rPr>
          <w:b/>
          <w:bCs/>
        </w:rPr>
      </w:pPr>
    </w:p>
    <w:p w:rsidR="008939EA" w:rsidP="008939EA" w14:paraId="41ADFD7B" w14:textId="77777777">
      <w:pPr>
        <w:rPr>
          <w:b/>
          <w:bCs/>
        </w:rPr>
      </w:pPr>
    </w:p>
    <w:p w:rsidR="008939EA" w:rsidP="008939EA" w14:paraId="5FD552E8" w14:textId="77777777">
      <w:pPr>
        <w:rPr>
          <w:b/>
          <w:bCs/>
        </w:rPr>
      </w:pPr>
    </w:p>
    <w:p w:rsidR="008939EA" w:rsidP="008939EA" w14:paraId="16263704" w14:textId="77777777">
      <w:pPr>
        <w:rPr>
          <w:b/>
          <w:bCs/>
        </w:rPr>
      </w:pPr>
    </w:p>
    <w:p w:rsidR="008939EA" w:rsidRPr="00613FF0" w:rsidP="008939EA" w14:paraId="6CDA3979" w14:textId="5DA4CBAB">
      <w:pPr>
        <w:rPr>
          <w:b/>
          <w:bCs/>
        </w:rPr>
      </w:pPr>
      <w:r w:rsidRPr="00613FF0">
        <w:rPr>
          <w:b/>
          <w:bCs/>
        </w:rPr>
        <w:t>6.</w:t>
      </w:r>
      <w:r>
        <w:rPr>
          <w:b/>
          <w:bCs/>
        </w:rPr>
        <w:t>Beløpsmessige rammer for 2024</w:t>
      </w:r>
    </w:p>
    <w:p w:rsidR="00083242" w:rsidP="00B461C3" w14:paraId="6DA47712" w14:textId="5A544784">
      <w:r>
        <w:rPr>
          <w:noProof/>
        </w:rPr>
        <w:drawing>
          <wp:inline distT="0" distB="0" distL="0" distR="0">
            <wp:extent cx="1954552" cy="5708015"/>
            <wp:effectExtent l="0" t="0" r="7620" b="6985"/>
            <wp:docPr id="1232519438"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519438" name="Picture 2"/>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968371" cy="5748372"/>
                    </a:xfrm>
                    <a:prstGeom prst="rect">
                      <a:avLst/>
                    </a:prstGeom>
                    <a:noFill/>
                  </pic:spPr>
                </pic:pic>
              </a:graphicData>
            </a:graphic>
          </wp:inline>
        </w:drawing>
      </w:r>
    </w:p>
    <w:sectPr w:rsidSect="003B4C45">
      <w:headerReference w:type="default" r:id="rId14"/>
      <w:type w:val="continuous"/>
      <w:pgSz w:w="11906" w:h="16838"/>
      <w:pgMar w:top="1684" w:right="1106" w:bottom="153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531"/>
      <w:gridCol w:w="284"/>
      <w:gridCol w:w="4557"/>
    </w:tblGrid>
    <w:tr w14:paraId="2327F390" w14:textId="77777777" w:rsidTr="00F4330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4531" w:type="dxa"/>
        </w:tcPr>
        <w:p w:rsidR="00B67D60" w:rsidP="0092267D" w14:paraId="72042ABB" w14:textId="77777777">
          <w:pPr>
            <w:pStyle w:val="Header"/>
          </w:pPr>
        </w:p>
      </w:tc>
      <w:tc>
        <w:tcPr>
          <w:tcW w:w="284" w:type="dxa"/>
        </w:tcPr>
        <w:p w:rsidR="00B67D60" w:rsidP="0092267D" w14:paraId="24E84C1C" w14:textId="77777777">
          <w:pPr>
            <w:pStyle w:val="Header"/>
          </w:pPr>
        </w:p>
      </w:tc>
      <w:tc>
        <w:tcPr>
          <w:tcW w:w="4557" w:type="dxa"/>
        </w:tcPr>
        <w:p w:rsidR="00B67D60" w:rsidP="0092267D" w14:paraId="7EBC9187" w14:textId="77777777">
          <w:pPr>
            <w:pStyle w:val="Header"/>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rsidR="00B67D60" w14:paraId="4EB7972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531"/>
      <w:gridCol w:w="284"/>
      <w:gridCol w:w="4557"/>
    </w:tblGrid>
    <w:tr w14:paraId="7C772D6C" w14:textId="77777777" w:rsidTr="00F4330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4531" w:type="dxa"/>
        </w:tcPr>
        <w:p w:rsidR="007F31A3" w:rsidP="0092267D" w14:paraId="61E31F3A" w14:textId="77777777">
          <w:pPr>
            <w:pStyle w:val="Header"/>
          </w:pPr>
        </w:p>
      </w:tc>
      <w:tc>
        <w:tcPr>
          <w:tcW w:w="284" w:type="dxa"/>
        </w:tcPr>
        <w:p w:rsidR="007F31A3" w:rsidP="0092267D" w14:paraId="6131EC54" w14:textId="77777777">
          <w:pPr>
            <w:pStyle w:val="Header"/>
          </w:pPr>
        </w:p>
      </w:tc>
      <w:tc>
        <w:tcPr>
          <w:tcW w:w="4557" w:type="dxa"/>
        </w:tcPr>
        <w:p w:rsidR="007F31A3" w:rsidP="0092267D" w14:paraId="534440CF" w14:textId="77777777">
          <w:pPr>
            <w:pStyle w:val="Header"/>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rsidR="007F31A3" w14:paraId="03167B7A" w14:textId="77777777">
    <w:pPr>
      <w:pStyle w:val="Header"/>
    </w:pPr>
    <w:r>
      <w:rPr>
        <w:noProof/>
        <w:lang w:eastAsia="nb-NO"/>
      </w:rPr>
      <w:drawing>
        <wp:anchor distT="0" distB="0" distL="114300" distR="114300" simplePos="0" relativeHeight="251658240" behindDoc="0" locked="1" layoutInCell="1" allowOverlap="1">
          <wp:simplePos x="0" y="0"/>
          <wp:positionH relativeFrom="column">
            <wp:posOffset>-474980</wp:posOffset>
          </wp:positionH>
          <wp:positionV relativeFrom="page">
            <wp:posOffset>381635</wp:posOffset>
          </wp:positionV>
          <wp:extent cx="399600" cy="399600"/>
          <wp:effectExtent l="0" t="0" r="635" b="635"/>
          <wp:wrapNone/>
          <wp:docPr id="2" name="Grafik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M_symbol_pos.sv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A62758"/>
    <w:multiLevelType w:val="multilevel"/>
    <w:tmpl w:val="6B225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3D1B75E4"/>
    <w:multiLevelType w:val="hybridMultilevel"/>
    <w:tmpl w:val="1C540F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D8D6F43"/>
    <w:multiLevelType w:val="hybridMultilevel"/>
    <w:tmpl w:val="3BEE77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721D1571"/>
    <w:multiLevelType w:val="hybridMultilevel"/>
    <w:tmpl w:val="6FD480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013"/>
    <w:rsid w:val="0001421C"/>
    <w:rsid w:val="000149B1"/>
    <w:rsid w:val="0002399A"/>
    <w:rsid w:val="00027C59"/>
    <w:rsid w:val="00040D9D"/>
    <w:rsid w:val="00054275"/>
    <w:rsid w:val="0007227A"/>
    <w:rsid w:val="00081F4B"/>
    <w:rsid w:val="000821CE"/>
    <w:rsid w:val="00083242"/>
    <w:rsid w:val="0009096E"/>
    <w:rsid w:val="0009692E"/>
    <w:rsid w:val="000B5D53"/>
    <w:rsid w:val="000C70B4"/>
    <w:rsid w:val="000D3220"/>
    <w:rsid w:val="000D4F02"/>
    <w:rsid w:val="000E2395"/>
    <w:rsid w:val="001052AB"/>
    <w:rsid w:val="0010666E"/>
    <w:rsid w:val="0012022B"/>
    <w:rsid w:val="00131256"/>
    <w:rsid w:val="00151F41"/>
    <w:rsid w:val="00152746"/>
    <w:rsid w:val="00161275"/>
    <w:rsid w:val="00165239"/>
    <w:rsid w:val="00167A3B"/>
    <w:rsid w:val="0017704E"/>
    <w:rsid w:val="0019532E"/>
    <w:rsid w:val="001B6B54"/>
    <w:rsid w:val="001C6097"/>
    <w:rsid w:val="001E53C2"/>
    <w:rsid w:val="001F712E"/>
    <w:rsid w:val="0020642B"/>
    <w:rsid w:val="002175F3"/>
    <w:rsid w:val="00223F02"/>
    <w:rsid w:val="00226258"/>
    <w:rsid w:val="00227872"/>
    <w:rsid w:val="00262CA9"/>
    <w:rsid w:val="00263C22"/>
    <w:rsid w:val="00276761"/>
    <w:rsid w:val="00290030"/>
    <w:rsid w:val="00291491"/>
    <w:rsid w:val="00297386"/>
    <w:rsid w:val="002B202C"/>
    <w:rsid w:val="002B34A6"/>
    <w:rsid w:val="002C6D6F"/>
    <w:rsid w:val="002D021B"/>
    <w:rsid w:val="002D1FCB"/>
    <w:rsid w:val="002D7159"/>
    <w:rsid w:val="002F508B"/>
    <w:rsid w:val="003106D9"/>
    <w:rsid w:val="00315D42"/>
    <w:rsid w:val="003261ED"/>
    <w:rsid w:val="003553C4"/>
    <w:rsid w:val="0035664C"/>
    <w:rsid w:val="0037076C"/>
    <w:rsid w:val="0039131D"/>
    <w:rsid w:val="003923F7"/>
    <w:rsid w:val="003952A7"/>
    <w:rsid w:val="003B22D0"/>
    <w:rsid w:val="003B4C45"/>
    <w:rsid w:val="003D2116"/>
    <w:rsid w:val="003D3685"/>
    <w:rsid w:val="00401548"/>
    <w:rsid w:val="00402431"/>
    <w:rsid w:val="00431939"/>
    <w:rsid w:val="0043349A"/>
    <w:rsid w:val="004336EA"/>
    <w:rsid w:val="004401AF"/>
    <w:rsid w:val="00442BA4"/>
    <w:rsid w:val="0044501A"/>
    <w:rsid w:val="00446BE4"/>
    <w:rsid w:val="00447716"/>
    <w:rsid w:val="00452B43"/>
    <w:rsid w:val="004612D0"/>
    <w:rsid w:val="004756CE"/>
    <w:rsid w:val="004768C5"/>
    <w:rsid w:val="00481BF4"/>
    <w:rsid w:val="00492781"/>
    <w:rsid w:val="004A5769"/>
    <w:rsid w:val="004B0A25"/>
    <w:rsid w:val="004B0F1A"/>
    <w:rsid w:val="004B70DA"/>
    <w:rsid w:val="004C0403"/>
    <w:rsid w:val="004E4643"/>
    <w:rsid w:val="004F0A6B"/>
    <w:rsid w:val="004F2901"/>
    <w:rsid w:val="004F6215"/>
    <w:rsid w:val="004F6362"/>
    <w:rsid w:val="005244E6"/>
    <w:rsid w:val="005303D9"/>
    <w:rsid w:val="0053668D"/>
    <w:rsid w:val="0054339D"/>
    <w:rsid w:val="005629E9"/>
    <w:rsid w:val="0057395D"/>
    <w:rsid w:val="005957AD"/>
    <w:rsid w:val="0059616E"/>
    <w:rsid w:val="005A2DD0"/>
    <w:rsid w:val="005B15F9"/>
    <w:rsid w:val="005B621A"/>
    <w:rsid w:val="005C4605"/>
    <w:rsid w:val="005D697D"/>
    <w:rsid w:val="005F0046"/>
    <w:rsid w:val="005F463D"/>
    <w:rsid w:val="00613FF0"/>
    <w:rsid w:val="006434E7"/>
    <w:rsid w:val="00661317"/>
    <w:rsid w:val="0067377A"/>
    <w:rsid w:val="00683A2A"/>
    <w:rsid w:val="006864BE"/>
    <w:rsid w:val="006D2D6B"/>
    <w:rsid w:val="006D6DE6"/>
    <w:rsid w:val="006F5364"/>
    <w:rsid w:val="00700397"/>
    <w:rsid w:val="007151FA"/>
    <w:rsid w:val="007412FF"/>
    <w:rsid w:val="00742E78"/>
    <w:rsid w:val="00750EDD"/>
    <w:rsid w:val="00767A5C"/>
    <w:rsid w:val="007B161A"/>
    <w:rsid w:val="007B6A54"/>
    <w:rsid w:val="007C39CD"/>
    <w:rsid w:val="007C6FE5"/>
    <w:rsid w:val="007D26E4"/>
    <w:rsid w:val="007D2CF7"/>
    <w:rsid w:val="007D7980"/>
    <w:rsid w:val="007E47E4"/>
    <w:rsid w:val="007E573C"/>
    <w:rsid w:val="007F31A3"/>
    <w:rsid w:val="007F4683"/>
    <w:rsid w:val="007F6A5E"/>
    <w:rsid w:val="008105A2"/>
    <w:rsid w:val="00817C11"/>
    <w:rsid w:val="00817FB6"/>
    <w:rsid w:val="00826BF1"/>
    <w:rsid w:val="008377F2"/>
    <w:rsid w:val="008422A3"/>
    <w:rsid w:val="00846ABF"/>
    <w:rsid w:val="00852BE2"/>
    <w:rsid w:val="0087160A"/>
    <w:rsid w:val="008747ED"/>
    <w:rsid w:val="00875E52"/>
    <w:rsid w:val="0087773B"/>
    <w:rsid w:val="00885B0E"/>
    <w:rsid w:val="008939EA"/>
    <w:rsid w:val="00894E5F"/>
    <w:rsid w:val="008A051B"/>
    <w:rsid w:val="008A21CE"/>
    <w:rsid w:val="008A295B"/>
    <w:rsid w:val="008A33F5"/>
    <w:rsid w:val="008B20A8"/>
    <w:rsid w:val="008B6D2E"/>
    <w:rsid w:val="008C38E0"/>
    <w:rsid w:val="008E50A5"/>
    <w:rsid w:val="009163C4"/>
    <w:rsid w:val="0092055A"/>
    <w:rsid w:val="0092267D"/>
    <w:rsid w:val="00927029"/>
    <w:rsid w:val="00955A55"/>
    <w:rsid w:val="009619DF"/>
    <w:rsid w:val="00991714"/>
    <w:rsid w:val="009A3E4D"/>
    <w:rsid w:val="009A7B55"/>
    <w:rsid w:val="009B029D"/>
    <w:rsid w:val="009B43A2"/>
    <w:rsid w:val="009D6A5C"/>
    <w:rsid w:val="009F59A3"/>
    <w:rsid w:val="00A1566C"/>
    <w:rsid w:val="00A2358C"/>
    <w:rsid w:val="00A23FF2"/>
    <w:rsid w:val="00A4573A"/>
    <w:rsid w:val="00A47724"/>
    <w:rsid w:val="00A518B6"/>
    <w:rsid w:val="00A62C1B"/>
    <w:rsid w:val="00A81FDC"/>
    <w:rsid w:val="00AA6C9D"/>
    <w:rsid w:val="00AB2CA1"/>
    <w:rsid w:val="00AD2850"/>
    <w:rsid w:val="00AD5DB0"/>
    <w:rsid w:val="00AD5DBF"/>
    <w:rsid w:val="00AE6DC5"/>
    <w:rsid w:val="00AF6AB5"/>
    <w:rsid w:val="00B01590"/>
    <w:rsid w:val="00B461C3"/>
    <w:rsid w:val="00B61526"/>
    <w:rsid w:val="00B61F58"/>
    <w:rsid w:val="00B65FBC"/>
    <w:rsid w:val="00B661D2"/>
    <w:rsid w:val="00B67D60"/>
    <w:rsid w:val="00B727A4"/>
    <w:rsid w:val="00B92241"/>
    <w:rsid w:val="00B94446"/>
    <w:rsid w:val="00BE1E47"/>
    <w:rsid w:val="00BE73C1"/>
    <w:rsid w:val="00BF780B"/>
    <w:rsid w:val="00C03DBC"/>
    <w:rsid w:val="00C04FE9"/>
    <w:rsid w:val="00C146CA"/>
    <w:rsid w:val="00C23D48"/>
    <w:rsid w:val="00C26349"/>
    <w:rsid w:val="00C27259"/>
    <w:rsid w:val="00C35CAE"/>
    <w:rsid w:val="00C42FFC"/>
    <w:rsid w:val="00C5169C"/>
    <w:rsid w:val="00C61CC1"/>
    <w:rsid w:val="00C63A32"/>
    <w:rsid w:val="00CC0E67"/>
    <w:rsid w:val="00D053D0"/>
    <w:rsid w:val="00D15F7F"/>
    <w:rsid w:val="00D2429F"/>
    <w:rsid w:val="00D40496"/>
    <w:rsid w:val="00D614BF"/>
    <w:rsid w:val="00D764FD"/>
    <w:rsid w:val="00D76882"/>
    <w:rsid w:val="00D86658"/>
    <w:rsid w:val="00D9570E"/>
    <w:rsid w:val="00DA5254"/>
    <w:rsid w:val="00DB3FD8"/>
    <w:rsid w:val="00DB4BD3"/>
    <w:rsid w:val="00DD5FCA"/>
    <w:rsid w:val="00DE5303"/>
    <w:rsid w:val="00E03AAC"/>
    <w:rsid w:val="00E07265"/>
    <w:rsid w:val="00E12143"/>
    <w:rsid w:val="00E36F9A"/>
    <w:rsid w:val="00E612E5"/>
    <w:rsid w:val="00E61B5D"/>
    <w:rsid w:val="00E6504C"/>
    <w:rsid w:val="00E671FE"/>
    <w:rsid w:val="00E9719D"/>
    <w:rsid w:val="00EA213C"/>
    <w:rsid w:val="00EA2AD4"/>
    <w:rsid w:val="00EB5B6C"/>
    <w:rsid w:val="00ED0D91"/>
    <w:rsid w:val="00ED0DC2"/>
    <w:rsid w:val="00EE0986"/>
    <w:rsid w:val="00EE3013"/>
    <w:rsid w:val="00EF0C56"/>
    <w:rsid w:val="00EF23D6"/>
    <w:rsid w:val="00EF2BB7"/>
    <w:rsid w:val="00EF2C47"/>
    <w:rsid w:val="00F01261"/>
    <w:rsid w:val="00F22C69"/>
    <w:rsid w:val="00F3607F"/>
    <w:rsid w:val="00F4330E"/>
    <w:rsid w:val="00F50A91"/>
    <w:rsid w:val="00F936BE"/>
    <w:rsid w:val="00F94139"/>
    <w:rsid w:val="00FA600C"/>
    <w:rsid w:val="00FE1685"/>
    <w:rsid w:val="00FE4E3D"/>
    <w:rsid w:val="00FF123C"/>
    <w:rsid w:val="00FF23FA"/>
  </w:rsid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14:docId w14:val="425C3486"/>
  <w15:chartTrackingRefBased/>
  <w15:docId w15:val="{417F1A9A-868C-4635-8F6E-E376B55B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FDC"/>
    <w:pPr>
      <w:spacing w:after="0" w:line="240" w:lineRule="auto"/>
    </w:pPr>
    <w:rPr>
      <w:rFonts w:ascii="Open Sans" w:hAnsi="Open Sans"/>
      <w:sz w:val="20"/>
      <w:szCs w:val="21"/>
    </w:rPr>
  </w:style>
  <w:style w:type="paragraph" w:styleId="Heading1">
    <w:name w:val="heading 1"/>
    <w:basedOn w:val="Normal"/>
    <w:next w:val="Normal"/>
    <w:link w:val="Overskrift1Tegn"/>
    <w:uiPriority w:val="9"/>
    <w:qFormat/>
    <w:rsid w:val="007D26E4"/>
    <w:pPr>
      <w:keepNext/>
      <w:keepLines/>
      <w:spacing w:before="240" w:after="240"/>
      <w:outlineLvl w:val="0"/>
    </w:pPr>
    <w:rPr>
      <w:rFonts w:ascii="Open Sans SemiBold" w:hAnsi="Open Sans SemiBold" w:eastAsiaTheme="majorEastAsia" w:cs="Open Sans SemiBold"/>
      <w:sz w:val="26"/>
      <w:szCs w:val="26"/>
    </w:rPr>
  </w:style>
  <w:style w:type="paragraph" w:styleId="Heading2">
    <w:name w:val="heading 2"/>
    <w:basedOn w:val="Normal"/>
    <w:next w:val="Normal"/>
    <w:link w:val="Overskrift2Tegn"/>
    <w:uiPriority w:val="9"/>
    <w:unhideWhenUsed/>
    <w:qFormat/>
    <w:rsid w:val="007D26E4"/>
    <w:pPr>
      <w:keepNext/>
      <w:keepLines/>
      <w:spacing w:before="40"/>
      <w:outlineLvl w:val="1"/>
    </w:pPr>
    <w:rPr>
      <w:rFonts w:ascii="Open Sans SemiBold" w:hAnsi="Open Sans SemiBold" w:eastAsiaTheme="majorEastAsia" w:cs="Open Sans SemiBold"/>
      <w:b/>
      <w:sz w:val="22"/>
      <w:szCs w:val="26"/>
    </w:rPr>
  </w:style>
  <w:style w:type="paragraph" w:styleId="Heading3">
    <w:name w:val="heading 3"/>
    <w:basedOn w:val="Normal"/>
    <w:next w:val="Normal"/>
    <w:link w:val="Overskrift3Tegn"/>
    <w:uiPriority w:val="9"/>
    <w:unhideWhenUsed/>
    <w:qFormat/>
    <w:rsid w:val="007D26E4"/>
    <w:pPr>
      <w:keepNext/>
      <w:keepLines/>
      <w:spacing w:before="40"/>
      <w:outlineLvl w:val="2"/>
    </w:pPr>
    <w:rPr>
      <w:rFonts w:ascii="Open Sans SemiBold" w:hAnsi="Open Sans SemiBold" w:eastAsiaTheme="majorEastAsia" w:cs="Open Sans SemiBol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DefaultParagraphFont"/>
    <w:link w:val="Heading1"/>
    <w:uiPriority w:val="9"/>
    <w:rsid w:val="007D26E4"/>
    <w:rPr>
      <w:rFonts w:ascii="Open Sans SemiBold" w:hAnsi="Open Sans SemiBold" w:eastAsiaTheme="majorEastAsia" w:cs="Open Sans SemiBold"/>
      <w:sz w:val="26"/>
      <w:szCs w:val="26"/>
      <w:lang w:val="en-GB"/>
    </w:rPr>
  </w:style>
  <w:style w:type="paragraph" w:styleId="NoSpacing">
    <w:name w:val="No Spacing"/>
    <w:uiPriority w:val="1"/>
    <w:qFormat/>
    <w:rsid w:val="000C70B4"/>
    <w:pPr>
      <w:spacing w:after="0" w:line="240" w:lineRule="auto"/>
    </w:pPr>
    <w:rPr>
      <w:rFonts w:ascii="Open Sans" w:hAnsi="Open Sans"/>
      <w:lang w:val="en-GB"/>
    </w:rPr>
  </w:style>
  <w:style w:type="paragraph" w:customStyle="1" w:styleId="FMhelsing">
    <w:name w:val="FM helsing"/>
    <w:basedOn w:val="Normal"/>
    <w:uiPriority w:val="99"/>
    <w:rsid w:val="008A051B"/>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Header">
    <w:name w:val="header"/>
    <w:basedOn w:val="Normal"/>
    <w:link w:val="TopptekstTegn"/>
    <w:uiPriority w:val="99"/>
    <w:unhideWhenUsed/>
    <w:rsid w:val="00A81FDC"/>
    <w:pPr>
      <w:tabs>
        <w:tab w:val="center" w:pos="4536"/>
        <w:tab w:val="right" w:pos="9072"/>
      </w:tabs>
    </w:pPr>
  </w:style>
  <w:style w:type="character" w:customStyle="1" w:styleId="TopptekstTegn">
    <w:name w:val="Topptekst Tegn"/>
    <w:basedOn w:val="DefaultParagraphFont"/>
    <w:link w:val="Header"/>
    <w:uiPriority w:val="99"/>
    <w:rsid w:val="00A81FDC"/>
    <w:rPr>
      <w:rFonts w:ascii="Open Sans" w:hAnsi="Open Sans"/>
      <w:sz w:val="20"/>
      <w:szCs w:val="21"/>
      <w:lang w:val="en-GB"/>
    </w:rPr>
  </w:style>
  <w:style w:type="paragraph" w:styleId="Footer">
    <w:name w:val="footer"/>
    <w:basedOn w:val="Normal"/>
    <w:link w:val="BunntekstTegn"/>
    <w:uiPriority w:val="99"/>
    <w:unhideWhenUsed/>
    <w:rsid w:val="00A81FDC"/>
    <w:pPr>
      <w:tabs>
        <w:tab w:val="center" w:pos="4536"/>
        <w:tab w:val="right" w:pos="9072"/>
      </w:tabs>
    </w:pPr>
  </w:style>
  <w:style w:type="character" w:customStyle="1" w:styleId="BunntekstTegn">
    <w:name w:val="Bunntekst Tegn"/>
    <w:basedOn w:val="DefaultParagraphFont"/>
    <w:link w:val="Footer"/>
    <w:uiPriority w:val="99"/>
    <w:rsid w:val="00A81FDC"/>
    <w:rPr>
      <w:rFonts w:ascii="Open Sans" w:hAnsi="Open Sans"/>
      <w:sz w:val="20"/>
      <w:szCs w:val="21"/>
      <w:lang w:val="en-GB"/>
    </w:rPr>
  </w:style>
  <w:style w:type="character" w:styleId="Hyperlink">
    <w:name w:val="Hyperlink"/>
    <w:basedOn w:val="DefaultParagraphFont"/>
    <w:uiPriority w:val="99"/>
    <w:unhideWhenUsed/>
    <w:rsid w:val="00D76882"/>
    <w:rPr>
      <w:color w:val="0563C1" w:themeColor="hyperlink"/>
      <w:u w:val="single"/>
    </w:rPr>
  </w:style>
  <w:style w:type="character" w:customStyle="1" w:styleId="Ulstomtale1">
    <w:name w:val="Uløst omtale1"/>
    <w:basedOn w:val="DefaultParagraphFont"/>
    <w:uiPriority w:val="99"/>
    <w:semiHidden/>
    <w:unhideWhenUsed/>
    <w:rsid w:val="00D76882"/>
    <w:rPr>
      <w:color w:val="605E5C"/>
      <w:shd w:val="clear" w:color="auto" w:fill="E1DFDD"/>
    </w:rPr>
  </w:style>
  <w:style w:type="character" w:customStyle="1" w:styleId="Overskrift2Tegn">
    <w:name w:val="Overskrift 2 Tegn"/>
    <w:basedOn w:val="DefaultParagraphFont"/>
    <w:link w:val="Heading2"/>
    <w:uiPriority w:val="9"/>
    <w:rsid w:val="007D26E4"/>
    <w:rPr>
      <w:rFonts w:ascii="Open Sans SemiBold" w:hAnsi="Open Sans SemiBold" w:eastAsiaTheme="majorEastAsia" w:cs="Open Sans SemiBold"/>
      <w:b/>
      <w:szCs w:val="26"/>
      <w:lang w:val="en-GB"/>
    </w:rPr>
  </w:style>
  <w:style w:type="character" w:customStyle="1" w:styleId="Overskrift3Tegn">
    <w:name w:val="Overskrift 3 Tegn"/>
    <w:basedOn w:val="DefaultParagraphFont"/>
    <w:link w:val="Heading3"/>
    <w:uiPriority w:val="9"/>
    <w:rsid w:val="007D26E4"/>
    <w:rPr>
      <w:rFonts w:ascii="Open Sans SemiBold" w:hAnsi="Open Sans SemiBold" w:eastAsiaTheme="majorEastAsia" w:cs="Open Sans SemiBold"/>
      <w:sz w:val="20"/>
      <w:szCs w:val="24"/>
      <w:lang w:val="en-GB"/>
    </w:rPr>
  </w:style>
  <w:style w:type="paragraph" w:styleId="ListParagraph">
    <w:name w:val="List Paragraph"/>
    <w:basedOn w:val="Normal"/>
    <w:uiPriority w:val="34"/>
    <w:qFormat/>
    <w:rsid w:val="008939EA"/>
    <w:pPr>
      <w:spacing w:after="160" w:line="259" w:lineRule="auto"/>
      <w:ind w:left="720"/>
      <w:contextualSpacing/>
    </w:pPr>
    <w:rPr>
      <w:rFonts w:asciiTheme="minorHAnsi" w:hAnsiTheme="minorHAnsi"/>
      <w:sz w:val="22"/>
      <w:szCs w:val="22"/>
    </w:rPr>
  </w:style>
  <w:style w:type="paragraph" w:styleId="Subtitle">
    <w:name w:val="Subtitle"/>
    <w:basedOn w:val="Normal"/>
    <w:next w:val="Normal"/>
    <w:link w:val="UndertittelTegn"/>
    <w:uiPriority w:val="11"/>
    <w:qFormat/>
    <w:rsid w:val="008939EA"/>
    <w:pPr>
      <w:numPr>
        <w:ilvl w:val="1"/>
      </w:numPr>
      <w:spacing w:line="259" w:lineRule="auto"/>
    </w:pPr>
    <w:rPr>
      <w:rFonts w:asciiTheme="minorHAnsi" w:eastAsiaTheme="minorEastAsia" w:hAnsiTheme="minorHAnsi"/>
      <w:b/>
      <w:spacing w:val="15"/>
      <w:sz w:val="22"/>
      <w:szCs w:val="22"/>
    </w:rPr>
  </w:style>
  <w:style w:type="character" w:customStyle="1" w:styleId="UndertittelTegn">
    <w:name w:val="Undertittel Tegn"/>
    <w:basedOn w:val="DefaultParagraphFont"/>
    <w:link w:val="Subtitle"/>
    <w:uiPriority w:val="11"/>
    <w:rsid w:val="008939EA"/>
    <w:rPr>
      <w:rFonts w:eastAsiaTheme="minorEastAsia"/>
      <w:b/>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nathalie.meidell.skjold@statsforvalteren.no" TargetMode="External" /><Relationship Id="rId11" Type="http://schemas.openxmlformats.org/officeDocument/2006/relationships/hyperlink" Target="mailto:marit.rostad@statsforvalteren.no" TargetMode="External" /><Relationship Id="rId12" Type="http://schemas.openxmlformats.org/officeDocument/2006/relationships/hyperlink" Target="mailto:anstein.lyngstad@statsforvalteren.no" TargetMode="External" /><Relationship Id="rId13" Type="http://schemas.openxmlformats.org/officeDocument/2006/relationships/image" Target="media/image2.png" /><Relationship Id="rId14" Type="http://schemas.openxmlformats.org/officeDocument/2006/relationships/header" Target="head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yperlink" Target="https://www.landbruksdirektoratet.no/nb/forvaltning/alle-veivisere-for-jordbruk/drenering-av-jordbruksjord" TargetMode="External" /><Relationship Id="rId8" Type="http://schemas.openxmlformats.org/officeDocument/2006/relationships/hyperlink" Target="https://www.landbruksdirektoratet.no/nb/forvaltning/veiledning-for-forvaltningen/agros--saksbehandling" TargetMode="External" /><Relationship Id="rId9" Type="http://schemas.openxmlformats.org/officeDocument/2006/relationships/hyperlink" Target="https://www.landbruksdirektoratet.no/nb/forvaltning/veiledning-for-forvaltningen/agros--saksbehandling-roller-og-tilganger?resultId=3.0&amp;searchQuery=agros"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sv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50DA8-C503-4273-BDCF-1ED94C651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691</Words>
  <Characters>3668</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Røshol, Elin</dc:creator>
  <cp:lastModifiedBy>Røstad, Marit</cp:lastModifiedBy>
  <cp:revision>9</cp:revision>
  <cp:lastPrinted>2018-11-29T13:44:00Z</cp:lastPrinted>
  <dcterms:created xsi:type="dcterms:W3CDTF">2019-01-01T17:32:00Z</dcterms:created>
  <dcterms:modified xsi:type="dcterms:W3CDTF">2024-01-25T13:50:00Z</dcterms:modified>
</cp:coreProperties>
</file>