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80" w:rsidRDefault="006E0C80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bookmarkStart w:id="0" w:name="txtPost"/>
      <w:bookmarkEnd w:id="0"/>
      <w:r w:rsidRPr="006E0C80">
        <w:rPr>
          <w:rFonts w:ascii="Arial" w:hAnsi="Arial" w:cs="Arial"/>
          <w:b/>
          <w:szCs w:val="28"/>
          <w:lang w:val="nn-NO"/>
        </w:rPr>
        <w:t xml:space="preserve">Kunngjøring av </w:t>
      </w:r>
      <w:proofErr w:type="spellStart"/>
      <w:r w:rsidRPr="006E0C80">
        <w:rPr>
          <w:rFonts w:ascii="Arial" w:hAnsi="Arial" w:cs="Arial"/>
          <w:b/>
          <w:szCs w:val="28"/>
          <w:lang w:val="nn-NO"/>
        </w:rPr>
        <w:t>tilskudd</w:t>
      </w:r>
      <w:proofErr w:type="spellEnd"/>
      <w:r w:rsidRPr="006E0C80">
        <w:rPr>
          <w:rFonts w:ascii="Arial" w:hAnsi="Arial" w:cs="Arial"/>
          <w:b/>
          <w:szCs w:val="28"/>
          <w:lang w:val="nn-NO"/>
        </w:rPr>
        <w:t xml:space="preserve"> til </w:t>
      </w:r>
      <w:proofErr w:type="spellStart"/>
      <w:r w:rsidRPr="006E0C80">
        <w:rPr>
          <w:rFonts w:ascii="Arial" w:hAnsi="Arial" w:cs="Arial"/>
          <w:b/>
          <w:szCs w:val="28"/>
          <w:lang w:val="nn-NO"/>
        </w:rPr>
        <w:t>boligsosialt</w:t>
      </w:r>
      <w:proofErr w:type="spellEnd"/>
      <w:r w:rsidRPr="006E0C80">
        <w:rPr>
          <w:rFonts w:ascii="Arial" w:hAnsi="Arial" w:cs="Arial"/>
          <w:b/>
          <w:szCs w:val="28"/>
          <w:lang w:val="nn-NO"/>
        </w:rPr>
        <w:t xml:space="preserve"> arbeid i 2016 </w:t>
      </w:r>
    </w:p>
    <w:p w:rsidR="006E0C80" w:rsidRPr="006E0C80" w:rsidRDefault="006E0C80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6E0C80">
        <w:rPr>
          <w:rFonts w:ascii="Arial" w:hAnsi="Arial" w:cs="Arial"/>
          <w:b/>
          <w:szCs w:val="28"/>
          <w:lang w:val="nn-NO"/>
        </w:rPr>
        <w:t>Kap. 0621 post 63</w:t>
      </w:r>
    </w:p>
    <w:p w:rsidR="006E0C80" w:rsidRDefault="006E0C80" w:rsidP="006E0C80">
      <w:pPr>
        <w:rPr>
          <w:rFonts w:ascii="Arial" w:hAnsi="Arial" w:cs="Arial"/>
          <w:sz w:val="22"/>
          <w:szCs w:val="22"/>
          <w:lang w:val="nn-NO"/>
        </w:rPr>
      </w:pPr>
    </w:p>
    <w:p w:rsidR="006E0C80" w:rsidRDefault="006E0C80" w:rsidP="006E0C80">
      <w:pPr>
        <w:rPr>
          <w:rFonts w:ascii="Arial" w:hAnsi="Arial" w:cs="Arial"/>
          <w:sz w:val="22"/>
          <w:szCs w:val="22"/>
          <w:lang w:val="nn-NO"/>
        </w:rPr>
      </w:pPr>
      <w:r w:rsidRPr="006E0C80">
        <w:rPr>
          <w:rFonts w:ascii="Arial" w:hAnsi="Arial" w:cs="Arial"/>
          <w:sz w:val="22"/>
          <w:szCs w:val="22"/>
        </w:rPr>
        <w:t>Med forbehold om Stortingets budsjettvedtak, vil tilskuddsordningen for å forebygge og bekjempe bostedsløshet bli videreført i 2016</w:t>
      </w:r>
      <w:r w:rsidRPr="006E0C80">
        <w:rPr>
          <w:rFonts w:ascii="Arial" w:hAnsi="Arial" w:cs="Arial"/>
        </w:rPr>
        <w:t>.</w:t>
      </w:r>
      <w:r w:rsidRPr="006E0C80">
        <w:rPr>
          <w:rFonts w:ascii="Arial" w:hAnsi="Arial" w:cs="Arial"/>
        </w:rPr>
        <w:br/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Kommuner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som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mottok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tilskudd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til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boligsosialt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arbeid i 2015, vil etter søknad kunne få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videreført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tilskudd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til sine tiltak med </w:t>
      </w:r>
      <w:proofErr w:type="spellStart"/>
      <w:r w:rsidRPr="006E0C80">
        <w:rPr>
          <w:rFonts w:ascii="Arial" w:hAnsi="Arial" w:cs="Arial"/>
          <w:sz w:val="22"/>
          <w:szCs w:val="22"/>
          <w:lang w:val="nn-NO"/>
        </w:rPr>
        <w:t>forbehold</w:t>
      </w:r>
      <w:proofErr w:type="spellEnd"/>
      <w:r w:rsidRPr="006E0C80">
        <w:rPr>
          <w:rFonts w:ascii="Arial" w:hAnsi="Arial" w:cs="Arial"/>
          <w:sz w:val="22"/>
          <w:szCs w:val="22"/>
          <w:lang w:val="nn-NO"/>
        </w:rPr>
        <w:t xml:space="preserve"> om Stortingets budsjettvedtak.</w:t>
      </w:r>
    </w:p>
    <w:p w:rsidR="006E0C80" w:rsidRDefault="006E0C80" w:rsidP="006E0C80">
      <w:pPr>
        <w:rPr>
          <w:rFonts w:ascii="Arial" w:hAnsi="Arial" w:cs="Arial"/>
          <w:sz w:val="22"/>
          <w:szCs w:val="22"/>
          <w:lang w:val="nn-NO"/>
        </w:rPr>
      </w:pPr>
    </w:p>
    <w:p w:rsidR="006E0C80" w:rsidRPr="006E0C80" w:rsidRDefault="006E0C80" w:rsidP="006E0C80">
      <w:pPr>
        <w:rPr>
          <w:rFonts w:ascii="Arial" w:hAnsi="Arial" w:cs="Arial"/>
          <w:sz w:val="22"/>
          <w:szCs w:val="22"/>
        </w:rPr>
      </w:pPr>
      <w:r w:rsidRPr="000B5DE7">
        <w:rPr>
          <w:rFonts w:ascii="Arial" w:hAnsi="Arial" w:cs="Arial"/>
          <w:b/>
          <w:sz w:val="22"/>
          <w:szCs w:val="22"/>
        </w:rPr>
        <w:t>Alle landets</w:t>
      </w:r>
      <w:r>
        <w:rPr>
          <w:rFonts w:ascii="Arial" w:hAnsi="Arial" w:cs="Arial"/>
          <w:b/>
          <w:sz w:val="22"/>
          <w:szCs w:val="22"/>
        </w:rPr>
        <w:t xml:space="preserve"> kommuner kan søke om tilskudd.</w:t>
      </w:r>
    </w:p>
    <w:p w:rsidR="006E0C80" w:rsidRPr="006E0C80" w:rsidRDefault="006E0C80" w:rsidP="006E0C80">
      <w:pPr>
        <w:rPr>
          <w:rFonts w:ascii="Arial" w:hAnsi="Arial" w:cs="Arial"/>
        </w:rPr>
      </w:pPr>
      <w:r w:rsidRPr="006E0C80">
        <w:rPr>
          <w:rFonts w:ascii="Arial" w:hAnsi="Arial" w:cs="Arial"/>
        </w:rPr>
        <w:t xml:space="preserve"> </w:t>
      </w:r>
    </w:p>
    <w:p w:rsidR="006E0C80" w:rsidRDefault="006E0C80" w:rsidP="006E0C80">
      <w:pPr>
        <w:rPr>
          <w:rFonts w:ascii="Arial" w:hAnsi="Arial" w:cs="Arial"/>
          <w:b/>
          <w:sz w:val="22"/>
          <w:szCs w:val="22"/>
        </w:rPr>
      </w:pPr>
      <w:bookmarkStart w:id="1" w:name="_GoBack"/>
      <w:r w:rsidRPr="000B5DE7">
        <w:rPr>
          <w:rFonts w:ascii="Arial" w:hAnsi="Arial" w:cs="Arial"/>
          <w:b/>
          <w:sz w:val="22"/>
          <w:szCs w:val="22"/>
        </w:rPr>
        <w:t xml:space="preserve">Søknadsfrist: </w:t>
      </w:r>
      <w:r>
        <w:rPr>
          <w:rFonts w:ascii="Arial" w:hAnsi="Arial" w:cs="Arial"/>
          <w:b/>
          <w:sz w:val="22"/>
          <w:szCs w:val="22"/>
        </w:rPr>
        <w:t>1. februar 2016.</w:t>
      </w:r>
      <w:r w:rsidRPr="006E0C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bookmarkEnd w:id="1"/>
    <w:p w:rsidR="006E0C80" w:rsidRDefault="006E0C80" w:rsidP="006E0C80">
      <w:pPr>
        <w:rPr>
          <w:rFonts w:ascii="Arial" w:hAnsi="Arial" w:cs="Arial"/>
          <w:b/>
          <w:sz w:val="22"/>
          <w:szCs w:val="22"/>
        </w:rPr>
      </w:pPr>
    </w:p>
    <w:p w:rsidR="006E0C80" w:rsidRPr="0046755B" w:rsidRDefault="006E0C80" w:rsidP="006E0C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 nasjonal strategi for boligsosialt arbeid (2014-2020) «Bolig for velferd» fokuserer på en særlig innsats overfor barnefamilier og unge. NAV-kontorene har et særskilt ansvar for </w:t>
      </w:r>
      <w:proofErr w:type="gramStart"/>
      <w:r>
        <w:rPr>
          <w:rFonts w:ascii="Arial" w:hAnsi="Arial" w:cs="Arial"/>
          <w:sz w:val="22"/>
          <w:szCs w:val="22"/>
        </w:rPr>
        <w:t>å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skaffe tilveie midlertidig bolig og bistå bruker med boligfremskaffelse.</w:t>
      </w:r>
      <w:proofErr w:type="gramEnd"/>
      <w:r>
        <w:rPr>
          <w:rFonts w:ascii="Arial" w:hAnsi="Arial" w:cs="Arial"/>
          <w:sz w:val="22"/>
          <w:szCs w:val="22"/>
        </w:rPr>
        <w:t xml:space="preserve"> Et godt boligsosialt arbeid får positive konsekvenser for måloppnåelse innen arbeid, helse, utdanning og integrering. Hjelp til inntekt gjennom arbeid eller utdanning er ofte avgjørende for å lykkes med boligsosialt arbeid.</w:t>
      </w:r>
    </w:p>
    <w:p w:rsidR="006E0C80" w:rsidRPr="000B5DE7" w:rsidRDefault="006E0C80" w:rsidP="006E0C80">
      <w:pPr>
        <w:rPr>
          <w:b/>
          <w:sz w:val="22"/>
          <w:szCs w:val="22"/>
        </w:rPr>
      </w:pPr>
    </w:p>
    <w:p w:rsidR="006E0C80" w:rsidRDefault="006E0C80" w:rsidP="006E0C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Hovedformålet med tilskuddet er å styrke og utvikle de ordinære tjenestene i kommunen i Arbeids- og velferdsforvaltningen, slik at den bedre kan ivareta og bistå bostedsløse og vanskeligstilte på boligmarkedet, særlig ungdom og barnefamilier.</w:t>
      </w:r>
    </w:p>
    <w:p w:rsidR="006E0C80" w:rsidRPr="000B5DE7" w:rsidRDefault="006E0C80" w:rsidP="006E0C80">
      <w:pPr>
        <w:rPr>
          <w:rFonts w:ascii="Arial" w:hAnsi="Arial" w:cs="Arial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  <w:u w:val="single"/>
        </w:rPr>
      </w:pPr>
      <w:r w:rsidRPr="006E0C80">
        <w:rPr>
          <w:rFonts w:ascii="Arial" w:hAnsi="Arial" w:cs="Arial"/>
          <w:sz w:val="22"/>
          <w:szCs w:val="22"/>
          <w:u w:val="single"/>
        </w:rPr>
        <w:t>Viktige innsatsområder i 2016 er</w:t>
      </w:r>
    </w:p>
    <w:p w:rsidR="006E0C80" w:rsidRPr="006E0C80" w:rsidRDefault="006E0C80" w:rsidP="006E0C8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å redusere bruken av midlertidige botilbud</w:t>
      </w:r>
    </w:p>
    <w:p w:rsidR="006E0C80" w:rsidRPr="006E0C80" w:rsidRDefault="006E0C80" w:rsidP="006E0C8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å legge til rette for et helhetlig boligsosialt arbeid lokalt</w:t>
      </w:r>
    </w:p>
    <w:p w:rsidR="006E0C80" w:rsidRPr="006E0C80" w:rsidRDefault="006E0C80" w:rsidP="006E0C8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 xml:space="preserve">tiltak overfor ungdom og yngre voksne i etableringsfasen </w:t>
      </w:r>
    </w:p>
    <w:p w:rsidR="006E0C80" w:rsidRPr="006E0C80" w:rsidRDefault="006E0C80" w:rsidP="006E0C8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tiltak ovenfor barnefamilier</w:t>
      </w:r>
    </w:p>
    <w:p w:rsidR="006E0C80" w:rsidRPr="000B5DE7" w:rsidRDefault="006E0C80" w:rsidP="006E0C80">
      <w:pPr>
        <w:shd w:val="clear" w:color="auto" w:fill="FFFFFF"/>
        <w:spacing w:after="120"/>
        <w:rPr>
          <w:rFonts w:ascii="Arial" w:hAnsi="Arial" w:cs="Arial"/>
          <w:color w:val="3E3832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Vi oppfordrer kommunene til interkommunalt samarbeid og å utvikle samarbeid med frivillige organisasjoner. Framskaffelse av varige botilbud, brukermedvirkning, bruk av individuell plan og etablering/styrkning av tverrfaglig samarbeid er sentrale elementer i det boligsosiale arbeidet som vil bli lagt vekt på i vurderingen av søknadene.</w:t>
      </w: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Vi anmoder om at søkere gjør seg kjent med regelverket for ordningen</w:t>
      </w:r>
      <w:r>
        <w:rPr>
          <w:rFonts w:ascii="Arial" w:hAnsi="Arial" w:cs="Arial"/>
          <w:sz w:val="22"/>
          <w:szCs w:val="22"/>
        </w:rPr>
        <w:t xml:space="preserve"> </w:t>
      </w:r>
      <w:r w:rsidRPr="006E0C80">
        <w:rPr>
          <w:rFonts w:ascii="Arial" w:hAnsi="Arial" w:cs="Arial"/>
          <w:sz w:val="22"/>
          <w:szCs w:val="22"/>
        </w:rPr>
        <w:t>og søknadskriteriene. Søknadskriteriene ligger vedlagt årets søknadsskjema.</w:t>
      </w:r>
    </w:p>
    <w:p w:rsid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:rsid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lastRenderedPageBreak/>
        <w:t>Søknadsprosedyrer</w:t>
      </w:r>
    </w:p>
    <w:p w:rsid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Utfylt søknadsskjema med eventuelle vedlegg sendes til respektivt fylkesmannsembete. Bydeler og tiltak i Oslo sender søknadsskjemaet via Byrådsavdeling for eldre og sosiale tjenester. Fylkesmannen sender en prioritert oversikt til Arbeids- og velferdsdirektoratet. Søknadene behandles i møter mellom Fylkesmannen og Arbeids- og velferdsdirektoratet.</w:t>
      </w: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 xml:space="preserve"> </w:t>
      </w: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</w:rPr>
      </w:pPr>
      <w:r w:rsidRPr="006E0C80">
        <w:rPr>
          <w:rFonts w:ascii="Arial" w:hAnsi="Arial" w:cs="Arial"/>
          <w:b/>
          <w:sz w:val="22"/>
          <w:szCs w:val="22"/>
        </w:rPr>
        <w:t xml:space="preserve">Tilskuddsforvaltningen samkjøres i størst mulig grad med øvrige tilskudd på fattigdomsfeltet. </w:t>
      </w: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:rsidR="006E0C80" w:rsidRPr="006E0C80" w:rsidRDefault="006E0C80" w:rsidP="006E0C80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6E0C80">
        <w:rPr>
          <w:rFonts w:ascii="Arial" w:hAnsi="Arial" w:cs="Arial"/>
          <w:sz w:val="22"/>
          <w:szCs w:val="22"/>
        </w:rPr>
        <w:t>Husk at søknader som sendes per e-post uten godkjent elektronisk signatur også må sendes inn per brev.</w:t>
      </w:r>
    </w:p>
    <w:p w:rsidR="006E0C80" w:rsidRPr="006E0C80" w:rsidRDefault="006E0C80">
      <w:pPr>
        <w:rPr>
          <w:sz w:val="22"/>
        </w:rPr>
      </w:pPr>
    </w:p>
    <w:p w:rsidR="004B3CF7" w:rsidRPr="006E0C80" w:rsidRDefault="004B3CF7">
      <w:pPr>
        <w:rPr>
          <w:sz w:val="22"/>
        </w:rPr>
      </w:pPr>
    </w:p>
    <w:p w:rsidR="0097203A" w:rsidRPr="006E0C80" w:rsidRDefault="0097203A">
      <w:pPr>
        <w:rPr>
          <w:sz w:val="22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6E0C80" w:rsidTr="007B37BC">
        <w:tc>
          <w:tcPr>
            <w:tcW w:w="959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2" w:name="lblDRef"/>
            <w:bookmarkEnd w:id="2"/>
          </w:p>
        </w:tc>
        <w:tc>
          <w:tcPr>
            <w:tcW w:w="2693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3" w:name="txtDRef"/>
            <w:bookmarkEnd w:id="3"/>
          </w:p>
        </w:tc>
        <w:tc>
          <w:tcPr>
            <w:tcW w:w="953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4" w:name="lblVRef"/>
            <w:bookmarkEnd w:id="4"/>
          </w:p>
        </w:tc>
        <w:tc>
          <w:tcPr>
            <w:tcW w:w="2024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5" w:name="txtVRef"/>
            <w:bookmarkEnd w:id="5"/>
          </w:p>
        </w:tc>
        <w:tc>
          <w:tcPr>
            <w:tcW w:w="1276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6" w:name="lblVDato"/>
            <w:bookmarkEnd w:id="6"/>
          </w:p>
        </w:tc>
        <w:tc>
          <w:tcPr>
            <w:tcW w:w="1275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7" w:name="txtVDato"/>
            <w:bookmarkEnd w:id="7"/>
          </w:p>
        </w:tc>
      </w:tr>
    </w:tbl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 w:rsidP="00BF4D5D">
      <w:pPr>
        <w:pStyle w:val="HovedoverskriftNAV"/>
      </w:pPr>
      <w:bookmarkStart w:id="8" w:name="txtOverskrift"/>
      <w:bookmarkEnd w:id="8"/>
    </w:p>
    <w:p w:rsidR="004B3CF7" w:rsidRPr="006E0C80" w:rsidRDefault="004B3CF7" w:rsidP="00457362">
      <w:bookmarkStart w:id="9" w:name="txtTekst"/>
      <w:bookmarkEnd w:id="9"/>
    </w:p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 w:rsidP="00457362">
      <w:bookmarkStart w:id="10" w:name="txtMedHilsen"/>
      <w:bookmarkEnd w:id="10"/>
    </w:p>
    <w:p w:rsidR="004B3CF7" w:rsidRPr="006E0C80" w:rsidRDefault="004B3CF7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6E0C80" w:rsidTr="007B37BC">
        <w:tc>
          <w:tcPr>
            <w:tcW w:w="4181" w:type="dxa"/>
          </w:tcPr>
          <w:p w:rsidR="0074652C" w:rsidRPr="006E0C80" w:rsidRDefault="0074652C" w:rsidP="00EF041B">
            <w:bookmarkStart w:id="11" w:name="txtSign1"/>
            <w:bookmarkEnd w:id="11"/>
          </w:p>
        </w:tc>
        <w:tc>
          <w:tcPr>
            <w:tcW w:w="4961" w:type="dxa"/>
          </w:tcPr>
          <w:p w:rsidR="0074652C" w:rsidRPr="006E0C80" w:rsidRDefault="0074652C" w:rsidP="00EF041B"/>
        </w:tc>
      </w:tr>
      <w:tr w:rsidR="0074652C" w:rsidRPr="006E0C80" w:rsidTr="007B37BC">
        <w:tc>
          <w:tcPr>
            <w:tcW w:w="4181" w:type="dxa"/>
          </w:tcPr>
          <w:p w:rsidR="0074652C" w:rsidRPr="006E0C80" w:rsidRDefault="0074652C" w:rsidP="00EF041B">
            <w:pPr>
              <w:ind w:right="-8"/>
            </w:pPr>
            <w:bookmarkStart w:id="12" w:name="txtSign1Funksjon"/>
            <w:bookmarkEnd w:id="12"/>
          </w:p>
        </w:tc>
        <w:tc>
          <w:tcPr>
            <w:tcW w:w="4961" w:type="dxa"/>
          </w:tcPr>
          <w:p w:rsidR="0074652C" w:rsidRPr="006E0C80" w:rsidRDefault="0074652C" w:rsidP="00EF041B">
            <w:pPr>
              <w:ind w:right="-8"/>
            </w:pPr>
          </w:p>
        </w:tc>
      </w:tr>
      <w:tr w:rsidR="000B1CB4" w:rsidRPr="006E0C80" w:rsidTr="007B37BC">
        <w:tc>
          <w:tcPr>
            <w:tcW w:w="4181" w:type="dxa"/>
          </w:tcPr>
          <w:p w:rsidR="000B1CB4" w:rsidRPr="006E0C80" w:rsidRDefault="000B1CB4" w:rsidP="00EF041B">
            <w:pPr>
              <w:ind w:right="-8"/>
            </w:pPr>
          </w:p>
        </w:tc>
        <w:tc>
          <w:tcPr>
            <w:tcW w:w="4961" w:type="dxa"/>
          </w:tcPr>
          <w:p w:rsidR="000B1CB4" w:rsidRPr="006E0C80" w:rsidRDefault="000B1CB4" w:rsidP="00EF041B">
            <w:pPr>
              <w:ind w:right="-8"/>
            </w:pPr>
            <w:bookmarkStart w:id="13" w:name="txtSign2"/>
            <w:bookmarkEnd w:id="13"/>
          </w:p>
        </w:tc>
      </w:tr>
      <w:tr w:rsidR="000B1CB4" w:rsidRPr="006E0C80" w:rsidTr="007B37BC">
        <w:tc>
          <w:tcPr>
            <w:tcW w:w="4181" w:type="dxa"/>
          </w:tcPr>
          <w:p w:rsidR="000B1CB4" w:rsidRPr="006E0C80" w:rsidRDefault="000B1CB4" w:rsidP="00EF041B">
            <w:pPr>
              <w:ind w:right="-8"/>
            </w:pPr>
          </w:p>
        </w:tc>
        <w:tc>
          <w:tcPr>
            <w:tcW w:w="4961" w:type="dxa"/>
          </w:tcPr>
          <w:p w:rsidR="000B1CB4" w:rsidRPr="006E0C80" w:rsidRDefault="000B1CB4" w:rsidP="007B2D05">
            <w:bookmarkStart w:id="14" w:name="txtSign2Funksjon"/>
            <w:bookmarkEnd w:id="14"/>
          </w:p>
        </w:tc>
      </w:tr>
    </w:tbl>
    <w:p w:rsidR="004B3CF7" w:rsidRPr="006E0C80" w:rsidRDefault="004B3CF7"/>
    <w:p w:rsidR="004B3CF7" w:rsidRPr="006E0C80" w:rsidRDefault="004B3CF7">
      <w:pPr>
        <w:autoSpaceDE w:val="0"/>
        <w:autoSpaceDN w:val="0"/>
        <w:adjustRightInd w:val="0"/>
      </w:pPr>
    </w:p>
    <w:p w:rsidR="001542E3" w:rsidRPr="006E0C80" w:rsidRDefault="001542E3">
      <w:pPr>
        <w:autoSpaceDE w:val="0"/>
        <w:autoSpaceDN w:val="0"/>
        <w:adjustRightInd w:val="0"/>
      </w:pPr>
    </w:p>
    <w:p w:rsidR="003E421E" w:rsidRPr="006E0C80" w:rsidRDefault="003E421E">
      <w:pPr>
        <w:autoSpaceDE w:val="0"/>
        <w:autoSpaceDN w:val="0"/>
        <w:adjustRightInd w:val="0"/>
      </w:pPr>
    </w:p>
    <w:p w:rsidR="003E421E" w:rsidRPr="006E0C80" w:rsidRDefault="003E421E">
      <w:pPr>
        <w:autoSpaceDE w:val="0"/>
        <w:autoSpaceDN w:val="0"/>
        <w:adjustRightInd w:val="0"/>
      </w:pPr>
      <w:bookmarkStart w:id="15" w:name="txtVedlegg"/>
      <w:bookmarkEnd w:id="15"/>
    </w:p>
    <w:p w:rsidR="004B3CF7" w:rsidRPr="006E0C80" w:rsidRDefault="004B3CF7">
      <w:pPr>
        <w:tabs>
          <w:tab w:val="left" w:pos="5608"/>
        </w:tabs>
      </w:pPr>
    </w:p>
    <w:sectPr w:rsidR="004B3CF7" w:rsidRPr="006E0C80">
      <w:headerReference w:type="default" r:id="rId9"/>
      <w:headerReference w:type="first" r:id="rId10"/>
      <w:footerReference w:type="first" r:id="rId11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BB" w:rsidRDefault="00050EBB">
      <w:r>
        <w:separator/>
      </w:r>
    </w:p>
  </w:endnote>
  <w:endnote w:type="continuationSeparator" w:id="0">
    <w:p w:rsidR="00050EBB" w:rsidRDefault="000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707122" w:rsidTr="003F570C">
      <w:tc>
        <w:tcPr>
          <w:tcW w:w="9211" w:type="dxa"/>
        </w:tcPr>
        <w:p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:rsidTr="003F570C">
      <w:trPr>
        <w:trHeight w:val="197"/>
      </w:trPr>
      <w:tc>
        <w:tcPr>
          <w:tcW w:w="9211" w:type="dxa"/>
          <w:vAlign w:val="bottom"/>
        </w:tcPr>
        <w:p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:rsidTr="00DD0FAF">
      <w:tc>
        <w:tcPr>
          <w:tcW w:w="9211" w:type="dxa"/>
        </w:tcPr>
        <w:p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16" w:name="txtTelefaks"/>
          <w:bookmarkEnd w:id="16"/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17" w:name="txtIntadr"/>
          <w:bookmarkStart w:id="18" w:name="txtKtrEpost"/>
          <w:bookmarkEnd w:id="17"/>
          <w:bookmarkEnd w:id="18"/>
        </w:p>
      </w:tc>
    </w:tr>
  </w:tbl>
  <w:p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BB" w:rsidRDefault="00050EBB">
      <w:r>
        <w:separator/>
      </w:r>
    </w:p>
  </w:footnote>
  <w:footnote w:type="continuationSeparator" w:id="0">
    <w:p w:rsidR="00050EBB" w:rsidRDefault="0005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63FB8" wp14:editId="242740C6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5"/>
    <w:rsid w:val="00006708"/>
    <w:rsid w:val="00016B0D"/>
    <w:rsid w:val="00050EBB"/>
    <w:rsid w:val="000A6F6F"/>
    <w:rsid w:val="000B1CB4"/>
    <w:rsid w:val="000B4921"/>
    <w:rsid w:val="000E709A"/>
    <w:rsid w:val="0010762D"/>
    <w:rsid w:val="00125301"/>
    <w:rsid w:val="001542E3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624AB"/>
    <w:rsid w:val="002701AB"/>
    <w:rsid w:val="002975BB"/>
    <w:rsid w:val="00297798"/>
    <w:rsid w:val="002E10B5"/>
    <w:rsid w:val="003026D1"/>
    <w:rsid w:val="00305A93"/>
    <w:rsid w:val="003136AA"/>
    <w:rsid w:val="0033472C"/>
    <w:rsid w:val="00396C95"/>
    <w:rsid w:val="003B45C8"/>
    <w:rsid w:val="003B5A84"/>
    <w:rsid w:val="003E421E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565275"/>
    <w:rsid w:val="00583DC5"/>
    <w:rsid w:val="00590449"/>
    <w:rsid w:val="00594946"/>
    <w:rsid w:val="005C7E1F"/>
    <w:rsid w:val="005F6CC6"/>
    <w:rsid w:val="00657289"/>
    <w:rsid w:val="00674B84"/>
    <w:rsid w:val="006771AD"/>
    <w:rsid w:val="006C01FC"/>
    <w:rsid w:val="006C0979"/>
    <w:rsid w:val="006E0C80"/>
    <w:rsid w:val="006F6865"/>
    <w:rsid w:val="00707122"/>
    <w:rsid w:val="00722735"/>
    <w:rsid w:val="00731D44"/>
    <w:rsid w:val="00743525"/>
    <w:rsid w:val="0074652C"/>
    <w:rsid w:val="007A3803"/>
    <w:rsid w:val="007B2D05"/>
    <w:rsid w:val="007B37BC"/>
    <w:rsid w:val="007C3B36"/>
    <w:rsid w:val="007E5EE2"/>
    <w:rsid w:val="0083249C"/>
    <w:rsid w:val="00854300"/>
    <w:rsid w:val="00854369"/>
    <w:rsid w:val="00854E93"/>
    <w:rsid w:val="00877F9A"/>
    <w:rsid w:val="00884A3B"/>
    <w:rsid w:val="008B2852"/>
    <w:rsid w:val="008B4C65"/>
    <w:rsid w:val="008E1B09"/>
    <w:rsid w:val="008F106E"/>
    <w:rsid w:val="008F5718"/>
    <w:rsid w:val="00901174"/>
    <w:rsid w:val="00910461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61EFC"/>
    <w:rsid w:val="00A626AB"/>
    <w:rsid w:val="00A70C66"/>
    <w:rsid w:val="00A73E4B"/>
    <w:rsid w:val="00AD48B5"/>
    <w:rsid w:val="00AE270D"/>
    <w:rsid w:val="00AF71ED"/>
    <w:rsid w:val="00B2403B"/>
    <w:rsid w:val="00B27095"/>
    <w:rsid w:val="00B542A8"/>
    <w:rsid w:val="00BF4D5D"/>
    <w:rsid w:val="00BF4E09"/>
    <w:rsid w:val="00C40A9B"/>
    <w:rsid w:val="00CD3F1D"/>
    <w:rsid w:val="00CE5798"/>
    <w:rsid w:val="00D2126B"/>
    <w:rsid w:val="00D56BE3"/>
    <w:rsid w:val="00DB7704"/>
    <w:rsid w:val="00DD0FAF"/>
    <w:rsid w:val="00E14B95"/>
    <w:rsid w:val="00E167C7"/>
    <w:rsid w:val="00E97C8F"/>
    <w:rsid w:val="00ED2B4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5B24-FCF1-4546-8A70-40F83CB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Eidsmo, Kjersti With</dc:creator>
  <cp:lastModifiedBy>Brenna Aronsen Ingunn</cp:lastModifiedBy>
  <cp:revision>2</cp:revision>
  <cp:lastPrinted>2006-03-22T12:36:00Z</cp:lastPrinted>
  <dcterms:created xsi:type="dcterms:W3CDTF">2015-11-17T11:14:00Z</dcterms:created>
  <dcterms:modified xsi:type="dcterms:W3CDTF">2015-11-17T11:14:00Z</dcterms:modified>
</cp:coreProperties>
</file>